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DA4" w:rsidRDefault="004056E4">
      <w:pPr>
        <w:pStyle w:val="Heading2"/>
        <w:rPr>
          <w:rFonts w:ascii="Calibri" w:hAnsi="Calibri"/>
          <w:i w:val="0"/>
        </w:rPr>
      </w:pPr>
      <w:r>
        <w:rPr>
          <w:rFonts w:ascii="Calibri" w:hAnsi="Calibri"/>
          <w:i w:val="0"/>
        </w:rPr>
        <w:t>CR-05 - Goals and Outcomes</w:t>
      </w:r>
    </w:p>
    <w:p w:rsidR="00482DA4" w:rsidRDefault="004056E4">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482DA4" w:rsidRDefault="004056E4">
      <w:pPr>
        <w:keepNext/>
        <w:widowControl w:val="0"/>
        <w:spacing w:after="0" w:line="240" w:lineRule="auto"/>
      </w:pPr>
      <w:r>
        <w:t xml:space="preserve">This could be an overview that includes major initiatives and highlights that were proposed and executed throughout the </w:t>
      </w:r>
      <w:r>
        <w:t>program year.</w:t>
      </w:r>
    </w:p>
    <w:p w:rsidR="00482DA4" w:rsidRDefault="00482DA4">
      <w:pPr>
        <w:keepNext/>
        <w:widowControl w:val="0"/>
        <w:spacing w:after="0" w:line="240" w:lineRule="auto"/>
        <w:rPr>
          <w:b/>
        </w:rPr>
      </w:pPr>
    </w:p>
    <w:p w:rsidR="00482DA4" w:rsidRDefault="00482DA4">
      <w:pPr>
        <w:widowControl w:val="0"/>
        <w:spacing w:line="204" w:lineRule="auto"/>
        <w:rPr>
          <w:szCs w:val="24"/>
        </w:rPr>
      </w:pPr>
    </w:p>
    <w:p w:rsidR="00482DA4" w:rsidRDefault="004056E4">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rsidR="00482DA4" w:rsidRDefault="004056E4">
      <w:pPr>
        <w:keepNext/>
        <w:widowControl w:val="0"/>
        <w:spacing w:after="0" w:line="240" w:lineRule="auto"/>
        <w:rPr>
          <w:szCs w:val="24"/>
        </w:rPr>
      </w:pPr>
      <w:r>
        <w:t>Categories, priority level</w:t>
      </w:r>
      <w:r>
        <w:t>s, funding sources and amounts, outcomes/objectives, goal outcome indicators, units of measure, targets, actual outcomes/outputs, and percentage completed for each of the grantee’s program year goals.</w:t>
      </w:r>
    </w:p>
    <w:p w:rsidR="00482DA4" w:rsidRDefault="00482DA4">
      <w:pPr>
        <w:widowControl w:val="0"/>
        <w:rPr>
          <w:b/>
          <w:sz w:val="24"/>
          <w:szCs w:val="24"/>
        </w:rPr>
      </w:pPr>
    </w:p>
    <w:tbl>
      <w:tblPr>
        <w:tblStyle w:val="TableGrid"/>
        <w:tblW w:w="13728" w:type="dxa"/>
        <w:tblInd w:w="0" w:type="dxa"/>
        <w:tblLook w:val="04A0" w:firstRow="1" w:lastRow="0" w:firstColumn="1" w:lastColumn="0" w:noHBand="0" w:noVBand="1"/>
      </w:tblPr>
      <w:tblGrid>
        <w:gridCol w:w="1709"/>
        <w:gridCol w:w="1454"/>
        <w:gridCol w:w="896"/>
        <w:gridCol w:w="2505"/>
        <w:gridCol w:w="1277"/>
        <w:gridCol w:w="978"/>
        <w:gridCol w:w="952"/>
        <w:gridCol w:w="1023"/>
        <w:gridCol w:w="978"/>
        <w:gridCol w:w="933"/>
        <w:gridCol w:w="1023"/>
      </w:tblGrid>
      <w:tr w:rsidR="00482DA4">
        <w:tc>
          <w:tcPr>
            <w:tcW w:w="1248" w:type="dxa"/>
          </w:tcPr>
          <w:p w:rsidR="00482DA4" w:rsidRDefault="004056E4">
            <w:pPr>
              <w:keepNext/>
              <w:widowControl w:val="0"/>
              <w:spacing w:after="0" w:line="240" w:lineRule="auto"/>
              <w:rPr>
                <w:b/>
              </w:rPr>
            </w:pPr>
            <w:r>
              <w:rPr>
                <w:b/>
              </w:rPr>
              <w:t>Goal</w:t>
            </w:r>
          </w:p>
        </w:tc>
        <w:tc>
          <w:tcPr>
            <w:tcW w:w="1248" w:type="dxa"/>
          </w:tcPr>
          <w:p w:rsidR="00482DA4" w:rsidRDefault="004056E4">
            <w:pPr>
              <w:keepNext/>
              <w:widowControl w:val="0"/>
              <w:spacing w:after="0" w:line="240" w:lineRule="auto"/>
              <w:rPr>
                <w:b/>
              </w:rPr>
            </w:pPr>
            <w:r>
              <w:rPr>
                <w:b/>
              </w:rPr>
              <w:t>Category</w:t>
            </w:r>
          </w:p>
        </w:tc>
        <w:tc>
          <w:tcPr>
            <w:tcW w:w="1248" w:type="dxa"/>
          </w:tcPr>
          <w:p w:rsidR="00482DA4" w:rsidRDefault="004056E4">
            <w:pPr>
              <w:keepNext/>
              <w:widowControl w:val="0"/>
              <w:spacing w:after="0" w:line="240" w:lineRule="auto"/>
              <w:rPr>
                <w:b/>
              </w:rPr>
            </w:pPr>
            <w:r>
              <w:rPr>
                <w:b/>
              </w:rPr>
              <w:t>Source / Amount</w:t>
            </w:r>
          </w:p>
        </w:tc>
        <w:tc>
          <w:tcPr>
            <w:tcW w:w="1248" w:type="dxa"/>
          </w:tcPr>
          <w:p w:rsidR="00482DA4" w:rsidRDefault="004056E4">
            <w:pPr>
              <w:keepNext/>
              <w:widowControl w:val="0"/>
              <w:spacing w:after="0" w:line="240" w:lineRule="auto"/>
              <w:rPr>
                <w:b/>
              </w:rPr>
            </w:pPr>
            <w:r>
              <w:rPr>
                <w:b/>
              </w:rPr>
              <w:t>Indicator</w:t>
            </w:r>
          </w:p>
        </w:tc>
        <w:tc>
          <w:tcPr>
            <w:tcW w:w="1248" w:type="dxa"/>
          </w:tcPr>
          <w:p w:rsidR="00482DA4" w:rsidRDefault="004056E4">
            <w:pPr>
              <w:keepNext/>
              <w:widowControl w:val="0"/>
              <w:spacing w:after="0" w:line="240" w:lineRule="auto"/>
              <w:rPr>
                <w:b/>
              </w:rPr>
            </w:pPr>
            <w:r>
              <w:rPr>
                <w:b/>
              </w:rPr>
              <w:t>Unit of Measur</w:t>
            </w:r>
            <w:r>
              <w:rPr>
                <w:b/>
              </w:rPr>
              <w:t>e</w:t>
            </w:r>
          </w:p>
        </w:tc>
        <w:tc>
          <w:tcPr>
            <w:tcW w:w="1248" w:type="dxa"/>
          </w:tcPr>
          <w:p w:rsidR="00482DA4" w:rsidRDefault="004056E4">
            <w:pPr>
              <w:keepNext/>
              <w:widowControl w:val="0"/>
              <w:spacing w:after="0" w:line="240" w:lineRule="auto"/>
              <w:rPr>
                <w:b/>
              </w:rPr>
            </w:pPr>
            <w:r>
              <w:rPr>
                <w:b/>
              </w:rPr>
              <w:t>Expected – Strategic Plan</w:t>
            </w:r>
          </w:p>
        </w:tc>
        <w:tc>
          <w:tcPr>
            <w:tcW w:w="1248" w:type="dxa"/>
          </w:tcPr>
          <w:p w:rsidR="00482DA4" w:rsidRDefault="004056E4">
            <w:pPr>
              <w:keepNext/>
              <w:widowControl w:val="0"/>
              <w:spacing w:after="0" w:line="240" w:lineRule="auto"/>
              <w:rPr>
                <w:b/>
              </w:rPr>
            </w:pPr>
            <w:r>
              <w:rPr>
                <w:b/>
              </w:rPr>
              <w:t>Actual – Strategic Plan</w:t>
            </w:r>
          </w:p>
        </w:tc>
        <w:tc>
          <w:tcPr>
            <w:tcW w:w="1248" w:type="dxa"/>
          </w:tcPr>
          <w:p w:rsidR="00482DA4" w:rsidRDefault="004056E4">
            <w:pPr>
              <w:keepNext/>
              <w:widowControl w:val="0"/>
              <w:spacing w:after="0" w:line="240" w:lineRule="auto"/>
              <w:rPr>
                <w:b/>
              </w:rPr>
            </w:pPr>
            <w:r>
              <w:rPr>
                <w:b/>
              </w:rPr>
              <w:t>Percent Complete</w:t>
            </w:r>
          </w:p>
        </w:tc>
        <w:tc>
          <w:tcPr>
            <w:tcW w:w="1248" w:type="dxa"/>
          </w:tcPr>
          <w:p w:rsidR="00482DA4" w:rsidRDefault="004056E4">
            <w:pPr>
              <w:keepNext/>
              <w:widowControl w:val="0"/>
              <w:spacing w:after="0" w:line="240" w:lineRule="auto"/>
              <w:rPr>
                <w:b/>
              </w:rPr>
            </w:pPr>
            <w:r>
              <w:rPr>
                <w:b/>
              </w:rPr>
              <w:t>Expected – Program Year</w:t>
            </w:r>
          </w:p>
        </w:tc>
        <w:tc>
          <w:tcPr>
            <w:tcW w:w="1248" w:type="dxa"/>
          </w:tcPr>
          <w:p w:rsidR="00482DA4" w:rsidRDefault="004056E4">
            <w:pPr>
              <w:keepNext/>
              <w:widowControl w:val="0"/>
              <w:spacing w:after="0" w:line="240" w:lineRule="auto"/>
              <w:rPr>
                <w:b/>
              </w:rPr>
            </w:pPr>
            <w:r>
              <w:rPr>
                <w:b/>
              </w:rPr>
              <w:t>Actual – Program Year</w:t>
            </w:r>
          </w:p>
        </w:tc>
        <w:tc>
          <w:tcPr>
            <w:tcW w:w="1248" w:type="dxa"/>
          </w:tcPr>
          <w:p w:rsidR="00482DA4" w:rsidRDefault="004056E4">
            <w:pPr>
              <w:keepNext/>
              <w:widowControl w:val="0"/>
              <w:spacing w:after="0" w:line="240" w:lineRule="auto"/>
              <w:rPr>
                <w:b/>
              </w:rPr>
            </w:pPr>
            <w:r>
              <w:rPr>
                <w:b/>
              </w:rPr>
              <w:t>Percent Complete</w:t>
            </w:r>
          </w:p>
        </w:tc>
      </w:tr>
      <w:tr w:rsidR="00482DA4">
        <w:trPr>
          <w:cantSplit/>
        </w:trPr>
        <w:tc>
          <w:tcPr>
            <w:tcW w:w="0" w:type="auto"/>
            <w:vAlign w:val="center"/>
          </w:tcPr>
          <w:p w:rsidR="00482DA4" w:rsidRDefault="004056E4">
            <w:pPr>
              <w:spacing w:beforeAutospacing="1" w:afterAutospacing="1"/>
            </w:pPr>
            <w:r>
              <w:rPr>
                <w:color w:val="000000"/>
                <w:sz w:val="22"/>
              </w:rPr>
              <w:t>Administration, Planning &amp; Fair Housing Initiative</w:t>
            </w:r>
          </w:p>
        </w:tc>
        <w:tc>
          <w:tcPr>
            <w:tcW w:w="0" w:type="auto"/>
            <w:vAlign w:val="center"/>
          </w:tcPr>
          <w:p w:rsidR="00482DA4" w:rsidRDefault="004056E4">
            <w:pPr>
              <w:spacing w:beforeAutospacing="1" w:afterAutospacing="1"/>
            </w:pPr>
            <w:r>
              <w:rPr>
                <w:color w:val="000000"/>
                <w:sz w:val="22"/>
              </w:rP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Other</w:t>
            </w:r>
          </w:p>
        </w:tc>
        <w:tc>
          <w:tcPr>
            <w:tcW w:w="0" w:type="auto"/>
            <w:vAlign w:val="center"/>
          </w:tcPr>
          <w:p w:rsidR="00482DA4" w:rsidRDefault="004056E4">
            <w:pPr>
              <w:spacing w:beforeAutospacing="1" w:afterAutospacing="1"/>
            </w:pPr>
            <w:r>
              <w:rPr>
                <w:color w:val="000000"/>
                <w:sz w:val="22"/>
              </w:rPr>
              <w:t>Other</w:t>
            </w:r>
          </w:p>
        </w:tc>
        <w:tc>
          <w:tcPr>
            <w:tcW w:w="0" w:type="auto"/>
            <w:vAlign w:val="center"/>
          </w:tcPr>
          <w:p w:rsidR="00482DA4" w:rsidRDefault="004056E4">
            <w:pPr>
              <w:spacing w:beforeAutospacing="1" w:afterAutospacing="1"/>
            </w:pPr>
            <w:r>
              <w:rPr>
                <w:color w:val="000000"/>
                <w:sz w:val="22"/>
              </w:rPr>
              <w:t>500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c>
          <w:tcPr>
            <w:tcW w:w="0" w:type="auto"/>
            <w:vAlign w:val="center"/>
          </w:tcPr>
          <w:p w:rsidR="00482DA4" w:rsidRDefault="004056E4">
            <w:pPr>
              <w:spacing w:beforeAutospacing="1" w:afterAutospacing="1"/>
            </w:pPr>
            <w:r>
              <w:rPr>
                <w:color w:val="000000"/>
                <w:sz w:val="22"/>
              </w:rPr>
              <w:t>50000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r>
      <w:tr w:rsidR="00482DA4">
        <w:trPr>
          <w:cantSplit/>
        </w:trPr>
        <w:tc>
          <w:tcPr>
            <w:tcW w:w="0" w:type="auto"/>
            <w:vAlign w:val="center"/>
          </w:tcPr>
          <w:p w:rsidR="00482DA4" w:rsidRDefault="004056E4">
            <w:pPr>
              <w:spacing w:beforeAutospacing="1" w:afterAutospacing="1"/>
            </w:pPr>
            <w:r>
              <w:rPr>
                <w:color w:val="000000"/>
                <w:sz w:val="22"/>
              </w:rPr>
              <w:t>Infrastructure Improvements</w:t>
            </w:r>
          </w:p>
        </w:tc>
        <w:tc>
          <w:tcPr>
            <w:tcW w:w="0" w:type="auto"/>
            <w:vAlign w:val="center"/>
          </w:tcPr>
          <w:p w:rsidR="00482DA4" w:rsidRDefault="004056E4">
            <w:pPr>
              <w:spacing w:beforeAutospacing="1" w:afterAutospacing="1"/>
            </w:pPr>
            <w:r>
              <w:rPr>
                <w:color w:val="000000"/>
                <w:sz w:val="22"/>
              </w:rP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Facility or Infrastructure Activities other than Low/Moderate Income Housing Benefit</w:t>
            </w:r>
          </w:p>
        </w:tc>
        <w:tc>
          <w:tcPr>
            <w:tcW w:w="0" w:type="auto"/>
            <w:vAlign w:val="center"/>
          </w:tcPr>
          <w:p w:rsidR="00482DA4" w:rsidRDefault="004056E4">
            <w:pPr>
              <w:spacing w:beforeAutospacing="1" w:afterAutospacing="1"/>
            </w:pPr>
            <w:r>
              <w:rPr>
                <w:color w:val="000000"/>
                <w:sz w:val="22"/>
              </w:rPr>
              <w:t>Persons Assisted</w:t>
            </w:r>
          </w:p>
        </w:tc>
        <w:tc>
          <w:tcPr>
            <w:tcW w:w="0" w:type="auto"/>
            <w:vAlign w:val="center"/>
          </w:tcPr>
          <w:p w:rsidR="00482DA4" w:rsidRDefault="004056E4">
            <w:pPr>
              <w:spacing w:beforeAutospacing="1" w:afterAutospacing="1"/>
            </w:pPr>
            <w:r>
              <w:rPr>
                <w:color w:val="000000"/>
                <w:sz w:val="22"/>
              </w:rPr>
              <w:t>100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Infrastructure Improvements</w:t>
            </w:r>
          </w:p>
        </w:tc>
        <w:tc>
          <w:tcPr>
            <w:tcW w:w="0" w:type="auto"/>
            <w:vAlign w:val="center"/>
          </w:tcPr>
          <w:p w:rsidR="00482DA4" w:rsidRDefault="004056E4">
            <w:pPr>
              <w:spacing w:beforeAutospacing="1" w:afterAutospacing="1"/>
            </w:pPr>
            <w:r>
              <w:rPr>
                <w:color w:val="000000"/>
                <w:sz w:val="22"/>
              </w:rP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Facility or Infrastructure Activities for Low/Moderate Income Housing Benefit</w:t>
            </w:r>
          </w:p>
        </w:tc>
        <w:tc>
          <w:tcPr>
            <w:tcW w:w="0" w:type="auto"/>
            <w:vAlign w:val="center"/>
          </w:tcPr>
          <w:p w:rsidR="00482DA4" w:rsidRDefault="004056E4">
            <w:pPr>
              <w:spacing w:beforeAutospacing="1" w:afterAutospacing="1"/>
            </w:pPr>
            <w:r>
              <w:rPr>
                <w:color w:val="000000"/>
                <w:sz w:val="22"/>
              </w:rPr>
              <w:t>Households Assisted</w:t>
            </w:r>
          </w:p>
        </w:tc>
        <w:tc>
          <w:tcPr>
            <w:tcW w:w="0" w:type="auto"/>
            <w:vAlign w:val="center"/>
          </w:tcPr>
          <w:p w:rsidR="00482DA4" w:rsidRDefault="004056E4">
            <w:pPr>
              <w:spacing w:beforeAutospacing="1" w:afterAutospacing="1"/>
            </w:pPr>
            <w:r>
              <w:rPr>
                <w:color w:val="000000"/>
                <w:sz w:val="22"/>
              </w:rPr>
              <w:t>500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c>
          <w:tcPr>
            <w:tcW w:w="0" w:type="auto"/>
            <w:vAlign w:val="center"/>
          </w:tcPr>
          <w:p w:rsidR="00482DA4" w:rsidRDefault="004056E4">
            <w:pPr>
              <w:spacing w:beforeAutospacing="1" w:afterAutospacing="1"/>
            </w:pPr>
            <w:r>
              <w:rPr>
                <w:color w:val="000000"/>
                <w:sz w:val="22"/>
              </w:rPr>
              <w:t>25</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r>
      <w:tr w:rsidR="00482DA4">
        <w:trPr>
          <w:cantSplit/>
        </w:trPr>
        <w:tc>
          <w:tcPr>
            <w:tcW w:w="0" w:type="auto"/>
            <w:vAlign w:val="center"/>
          </w:tcPr>
          <w:p w:rsidR="00482DA4" w:rsidRDefault="004056E4">
            <w:pPr>
              <w:spacing w:beforeAutospacing="1" w:afterAutospacing="1"/>
            </w:pPr>
            <w:r>
              <w:rPr>
                <w:color w:val="000000"/>
                <w:sz w:val="22"/>
              </w:rPr>
              <w:t>Park Facilities</w:t>
            </w:r>
          </w:p>
        </w:tc>
        <w:tc>
          <w:tcPr>
            <w:tcW w:w="0" w:type="auto"/>
            <w:vAlign w:val="center"/>
          </w:tcPr>
          <w:p w:rsidR="00482DA4" w:rsidRDefault="004056E4">
            <w:pPr>
              <w:spacing w:beforeAutospacing="1" w:afterAutospacing="1"/>
            </w:pPr>
            <w:r>
              <w:rPr>
                <w:color w:val="000000"/>
                <w:sz w:val="22"/>
              </w:rPr>
              <w:t>Non-Housing Community D</w:t>
            </w:r>
            <w:r>
              <w:rPr>
                <w:color w:val="000000"/>
                <w:sz w:val="22"/>
              </w:rPr>
              <w:t>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Facility or Infrastructure Activities other than Low/Moderate Income Housing Benefit</w:t>
            </w:r>
          </w:p>
        </w:tc>
        <w:tc>
          <w:tcPr>
            <w:tcW w:w="0" w:type="auto"/>
            <w:vAlign w:val="center"/>
          </w:tcPr>
          <w:p w:rsidR="00482DA4" w:rsidRDefault="004056E4">
            <w:pPr>
              <w:spacing w:beforeAutospacing="1" w:afterAutospacing="1"/>
            </w:pPr>
            <w:r>
              <w:rPr>
                <w:color w:val="000000"/>
                <w:sz w:val="22"/>
              </w:rPr>
              <w:t>Persons Assisted</w:t>
            </w:r>
          </w:p>
        </w:tc>
        <w:tc>
          <w:tcPr>
            <w:tcW w:w="0" w:type="auto"/>
            <w:vAlign w:val="center"/>
          </w:tcPr>
          <w:p w:rsidR="00482DA4" w:rsidRDefault="004056E4">
            <w:pPr>
              <w:spacing w:beforeAutospacing="1" w:afterAutospacing="1"/>
            </w:pPr>
            <w:r>
              <w:rPr>
                <w:color w:val="000000"/>
                <w:sz w:val="22"/>
              </w:rPr>
              <w:t>50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Park Facilities</w:t>
            </w:r>
          </w:p>
        </w:tc>
        <w:tc>
          <w:tcPr>
            <w:tcW w:w="0" w:type="auto"/>
            <w:vAlign w:val="center"/>
          </w:tcPr>
          <w:p w:rsidR="00482DA4" w:rsidRDefault="004056E4">
            <w:pPr>
              <w:spacing w:beforeAutospacing="1" w:afterAutospacing="1"/>
            </w:pPr>
            <w:r>
              <w:rPr>
                <w:color w:val="000000"/>
                <w:sz w:val="22"/>
              </w:rP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Facility or Infrastructure Activities for Low/Moderate Income Housing Benefit</w:t>
            </w:r>
          </w:p>
        </w:tc>
        <w:tc>
          <w:tcPr>
            <w:tcW w:w="0" w:type="auto"/>
            <w:vAlign w:val="center"/>
          </w:tcPr>
          <w:p w:rsidR="00482DA4" w:rsidRDefault="004056E4">
            <w:pPr>
              <w:spacing w:beforeAutospacing="1" w:afterAutospacing="1"/>
            </w:pPr>
            <w:r>
              <w:rPr>
                <w:color w:val="000000"/>
                <w:sz w:val="22"/>
              </w:rPr>
              <w:t>Households Assisted</w:t>
            </w:r>
          </w:p>
        </w:tc>
        <w:tc>
          <w:tcPr>
            <w:tcW w:w="0" w:type="auto"/>
            <w:vAlign w:val="center"/>
          </w:tcPr>
          <w:p w:rsidR="00482DA4" w:rsidRDefault="004056E4">
            <w:pPr>
              <w:spacing w:beforeAutospacing="1" w:afterAutospacing="1"/>
            </w:pPr>
            <w:r>
              <w:rPr>
                <w:color w:val="000000"/>
                <w:sz w:val="22"/>
              </w:rPr>
              <w:t>500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0.00%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w:t>
            </w:r>
            <w:r>
              <w:rPr>
                <w:color w:val="000000"/>
                <w:sz w:val="22"/>
              </w:rPr>
              <w:t>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Facility or Infrastructure Activities other than Low/Moderate Income Housing Benefit</w:t>
            </w:r>
          </w:p>
        </w:tc>
        <w:tc>
          <w:tcPr>
            <w:tcW w:w="0" w:type="auto"/>
            <w:vAlign w:val="center"/>
          </w:tcPr>
          <w:p w:rsidR="00482DA4" w:rsidRDefault="004056E4">
            <w:pPr>
              <w:spacing w:beforeAutospacing="1" w:afterAutospacing="1"/>
            </w:pPr>
            <w:r>
              <w:rPr>
                <w:color w:val="000000"/>
                <w:sz w:val="22"/>
              </w:rPr>
              <w:t>Persons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Facility or Infrastructure Activities for Low/Moderate Income Housing Benefit</w:t>
            </w:r>
          </w:p>
        </w:tc>
        <w:tc>
          <w:tcPr>
            <w:tcW w:w="0" w:type="auto"/>
            <w:vAlign w:val="center"/>
          </w:tcPr>
          <w:p w:rsidR="00482DA4" w:rsidRDefault="004056E4">
            <w:pPr>
              <w:spacing w:beforeAutospacing="1" w:afterAutospacing="1"/>
            </w:pPr>
            <w:r>
              <w:rPr>
                <w:color w:val="000000"/>
                <w:sz w:val="22"/>
              </w:rPr>
              <w:t>Households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 xml:space="preserve">Public </w:t>
            </w:r>
            <w:r>
              <w:rPr>
                <w:color w:val="000000"/>
                <w:sz w:val="22"/>
              </w:rPr>
              <w:t>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service activities other than Low/Moderate Income Housing Benefit</w:t>
            </w:r>
          </w:p>
        </w:tc>
        <w:tc>
          <w:tcPr>
            <w:tcW w:w="0" w:type="auto"/>
            <w:vAlign w:val="center"/>
          </w:tcPr>
          <w:p w:rsidR="00482DA4" w:rsidRDefault="004056E4">
            <w:pPr>
              <w:spacing w:beforeAutospacing="1" w:afterAutospacing="1"/>
            </w:pPr>
            <w:r>
              <w:rPr>
                <w:color w:val="000000"/>
                <w:sz w:val="22"/>
              </w:rPr>
              <w:t>Persons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r>
            <w:r>
              <w:rPr>
                <w:color w:val="000000"/>
                <w:sz w:val="22"/>
              </w:rP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Public service activities for Low/Moderate Income Housing Benefit</w:t>
            </w:r>
          </w:p>
        </w:tc>
        <w:tc>
          <w:tcPr>
            <w:tcW w:w="0" w:type="auto"/>
            <w:vAlign w:val="center"/>
          </w:tcPr>
          <w:p w:rsidR="00482DA4" w:rsidRDefault="004056E4">
            <w:pPr>
              <w:spacing w:beforeAutospacing="1" w:afterAutospacing="1"/>
            </w:pPr>
            <w:r>
              <w:rPr>
                <w:color w:val="000000"/>
                <w:sz w:val="22"/>
              </w:rPr>
              <w:t>Households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w:t>
            </w:r>
            <w:r>
              <w:rPr>
                <w:color w:val="000000"/>
                <w:sz w:val="22"/>
              </w:rPr>
              <w:t>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Facade treatment/business building rehabilitation</w:t>
            </w:r>
          </w:p>
        </w:tc>
        <w:tc>
          <w:tcPr>
            <w:tcW w:w="0" w:type="auto"/>
            <w:vAlign w:val="center"/>
          </w:tcPr>
          <w:p w:rsidR="00482DA4" w:rsidRDefault="004056E4">
            <w:pPr>
              <w:spacing w:beforeAutospacing="1" w:afterAutospacing="1"/>
            </w:pPr>
            <w:r>
              <w:rPr>
                <w:color w:val="000000"/>
                <w:sz w:val="22"/>
              </w:rPr>
              <w:t>Business</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Brownfield acres remediated</w:t>
            </w:r>
          </w:p>
        </w:tc>
        <w:tc>
          <w:tcPr>
            <w:tcW w:w="0" w:type="auto"/>
            <w:vAlign w:val="center"/>
          </w:tcPr>
          <w:p w:rsidR="00482DA4" w:rsidRDefault="004056E4">
            <w:pPr>
              <w:spacing w:beforeAutospacing="1" w:afterAutospacing="1"/>
            </w:pPr>
            <w:r>
              <w:rPr>
                <w:color w:val="000000"/>
                <w:sz w:val="22"/>
              </w:rPr>
              <w:t>Acre</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Rental units constructed</w:t>
            </w:r>
          </w:p>
        </w:tc>
        <w:tc>
          <w:tcPr>
            <w:tcW w:w="0" w:type="auto"/>
            <w:vAlign w:val="center"/>
          </w:tcPr>
          <w:p w:rsidR="00482DA4" w:rsidRDefault="004056E4">
            <w:pPr>
              <w:spacing w:beforeAutospacing="1" w:afterAutospacing="1"/>
            </w:pPr>
            <w:r>
              <w:rPr>
                <w:color w:val="000000"/>
                <w:sz w:val="22"/>
              </w:rPr>
              <w:t>Household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Rental units rehabilitated</w:t>
            </w:r>
          </w:p>
        </w:tc>
        <w:tc>
          <w:tcPr>
            <w:tcW w:w="0" w:type="auto"/>
            <w:vAlign w:val="center"/>
          </w:tcPr>
          <w:p w:rsidR="00482DA4" w:rsidRDefault="004056E4">
            <w:pPr>
              <w:spacing w:beforeAutospacing="1" w:afterAutospacing="1"/>
            </w:pPr>
            <w:r>
              <w:rPr>
                <w:color w:val="000000"/>
                <w:sz w:val="22"/>
              </w:rPr>
              <w:t>Household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Homeowner Housing Added</w:t>
            </w:r>
          </w:p>
        </w:tc>
        <w:tc>
          <w:tcPr>
            <w:tcW w:w="0" w:type="auto"/>
            <w:vAlign w:val="center"/>
          </w:tcPr>
          <w:p w:rsidR="00482DA4" w:rsidRDefault="004056E4">
            <w:pPr>
              <w:spacing w:beforeAutospacing="1" w:afterAutospacing="1"/>
            </w:pPr>
            <w:r>
              <w:rPr>
                <w:color w:val="000000"/>
                <w:sz w:val="22"/>
              </w:rPr>
              <w:t>Househ</w:t>
            </w:r>
            <w:r>
              <w:rPr>
                <w:color w:val="000000"/>
                <w:sz w:val="22"/>
              </w:rPr>
              <w:t>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Homeowner Housing Rehabilitated</w:t>
            </w:r>
          </w:p>
        </w:tc>
        <w:tc>
          <w:tcPr>
            <w:tcW w:w="0" w:type="auto"/>
            <w:vAlign w:val="center"/>
          </w:tcPr>
          <w:p w:rsidR="00482DA4" w:rsidRDefault="004056E4">
            <w:pPr>
              <w:spacing w:beforeAutospacing="1" w:afterAutospacing="1"/>
            </w:pPr>
            <w:r>
              <w:rPr>
                <w:color w:val="000000"/>
                <w:sz w:val="22"/>
              </w:rPr>
              <w:t>Household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Direct Financial Assistance to Homebuyers</w:t>
            </w:r>
          </w:p>
        </w:tc>
        <w:tc>
          <w:tcPr>
            <w:tcW w:w="0" w:type="auto"/>
            <w:vAlign w:val="center"/>
          </w:tcPr>
          <w:p w:rsidR="00482DA4" w:rsidRDefault="004056E4">
            <w:pPr>
              <w:spacing w:beforeAutospacing="1" w:afterAutospacing="1"/>
            </w:pPr>
            <w:r>
              <w:rPr>
                <w:color w:val="000000"/>
                <w:sz w:val="22"/>
              </w:rPr>
              <w:t>Households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Tenant-based rental assistance / Rapid Rehousing</w:t>
            </w:r>
          </w:p>
        </w:tc>
        <w:tc>
          <w:tcPr>
            <w:tcW w:w="0" w:type="auto"/>
            <w:vAlign w:val="center"/>
          </w:tcPr>
          <w:p w:rsidR="00482DA4" w:rsidRDefault="004056E4">
            <w:pPr>
              <w:spacing w:beforeAutospacing="1" w:afterAutospacing="1"/>
            </w:pPr>
            <w:r>
              <w:rPr>
                <w:color w:val="000000"/>
                <w:sz w:val="22"/>
              </w:rPr>
              <w:t>Households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 xml:space="preserve">provide affordable </w:t>
            </w:r>
            <w:r>
              <w:rPr>
                <w:color w:val="000000"/>
                <w:sz w:val="22"/>
              </w:rPr>
              <w:t>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Homeless Person Overnight Shelter</w:t>
            </w:r>
          </w:p>
        </w:tc>
        <w:tc>
          <w:tcPr>
            <w:tcW w:w="0" w:type="auto"/>
            <w:vAlign w:val="center"/>
          </w:tcPr>
          <w:p w:rsidR="00482DA4" w:rsidRDefault="004056E4">
            <w:pPr>
              <w:spacing w:beforeAutospacing="1" w:afterAutospacing="1"/>
            </w:pPr>
            <w:r>
              <w:rPr>
                <w:color w:val="000000"/>
                <w:sz w:val="22"/>
              </w:rPr>
              <w:t>Persons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Overnight/Emergency Shelter/Transitional Housing Beds added</w:t>
            </w:r>
          </w:p>
        </w:tc>
        <w:tc>
          <w:tcPr>
            <w:tcW w:w="0" w:type="auto"/>
            <w:vAlign w:val="center"/>
          </w:tcPr>
          <w:p w:rsidR="00482DA4" w:rsidRDefault="004056E4">
            <w:pPr>
              <w:spacing w:beforeAutospacing="1" w:afterAutospacing="1"/>
            </w:pPr>
            <w:r>
              <w:rPr>
                <w:color w:val="000000"/>
                <w:sz w:val="22"/>
              </w:rPr>
              <w:t>Beds</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r>
            <w:r>
              <w:rPr>
                <w:color w:val="000000"/>
                <w:sz w:val="22"/>
              </w:rP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Homelessness Prevention</w:t>
            </w:r>
          </w:p>
        </w:tc>
        <w:tc>
          <w:tcPr>
            <w:tcW w:w="0" w:type="auto"/>
            <w:vAlign w:val="center"/>
          </w:tcPr>
          <w:p w:rsidR="00482DA4" w:rsidRDefault="004056E4">
            <w:pPr>
              <w:spacing w:beforeAutospacing="1" w:afterAutospacing="1"/>
            </w:pPr>
            <w:r>
              <w:rPr>
                <w:color w:val="000000"/>
                <w:sz w:val="22"/>
              </w:rPr>
              <w:t>Persons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Jobs created/retained</w:t>
            </w:r>
          </w:p>
        </w:tc>
        <w:tc>
          <w:tcPr>
            <w:tcW w:w="0" w:type="auto"/>
            <w:vAlign w:val="center"/>
          </w:tcPr>
          <w:p w:rsidR="00482DA4" w:rsidRDefault="004056E4">
            <w:pPr>
              <w:spacing w:beforeAutospacing="1" w:afterAutospacing="1"/>
            </w:pPr>
            <w:r>
              <w:rPr>
                <w:color w:val="000000"/>
                <w:sz w:val="22"/>
              </w:rPr>
              <w:t>Jobs</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Businesses assisted</w:t>
            </w:r>
          </w:p>
        </w:tc>
        <w:tc>
          <w:tcPr>
            <w:tcW w:w="0" w:type="auto"/>
            <w:vAlign w:val="center"/>
          </w:tcPr>
          <w:p w:rsidR="00482DA4" w:rsidRDefault="004056E4">
            <w:pPr>
              <w:spacing w:beforeAutospacing="1" w:afterAutospacing="1"/>
            </w:pPr>
            <w:r>
              <w:rPr>
                <w:color w:val="000000"/>
                <w:sz w:val="22"/>
              </w:rPr>
              <w:t>Businesses Assisted</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Housing for Homeless added</w:t>
            </w:r>
          </w:p>
        </w:tc>
        <w:tc>
          <w:tcPr>
            <w:tcW w:w="0" w:type="auto"/>
            <w:vAlign w:val="center"/>
          </w:tcPr>
          <w:p w:rsidR="00482DA4" w:rsidRDefault="004056E4">
            <w:pPr>
              <w:spacing w:beforeAutospacing="1" w:afterAutospacing="1"/>
            </w:pPr>
            <w:r>
              <w:rPr>
                <w:color w:val="000000"/>
                <w:sz w:val="22"/>
              </w:rPr>
              <w:t>Household Hou</w:t>
            </w:r>
            <w:r>
              <w:rPr>
                <w:color w:val="000000"/>
                <w:sz w:val="22"/>
              </w:rPr>
              <w:t>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Housing for People with HIV/AIDS added</w:t>
            </w:r>
          </w:p>
        </w:tc>
        <w:tc>
          <w:tcPr>
            <w:tcW w:w="0" w:type="auto"/>
            <w:vAlign w:val="center"/>
          </w:tcPr>
          <w:p w:rsidR="00482DA4" w:rsidRDefault="004056E4">
            <w:pPr>
              <w:spacing w:beforeAutospacing="1" w:afterAutospacing="1"/>
            </w:pPr>
            <w:r>
              <w:rPr>
                <w:color w:val="000000"/>
                <w:sz w:val="22"/>
              </w:rPr>
              <w:t>Household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HIV/AIDS Housing Operations</w:t>
            </w:r>
          </w:p>
        </w:tc>
        <w:tc>
          <w:tcPr>
            <w:tcW w:w="0" w:type="auto"/>
            <w:vAlign w:val="center"/>
          </w:tcPr>
          <w:p w:rsidR="00482DA4" w:rsidRDefault="004056E4">
            <w:pPr>
              <w:spacing w:beforeAutospacing="1" w:afterAutospacing="1"/>
            </w:pPr>
            <w:r>
              <w:rPr>
                <w:color w:val="000000"/>
                <w:sz w:val="22"/>
              </w:rPr>
              <w:t>Household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Buildings Demolished</w:t>
            </w:r>
          </w:p>
        </w:tc>
        <w:tc>
          <w:tcPr>
            <w:tcW w:w="0" w:type="auto"/>
            <w:vAlign w:val="center"/>
          </w:tcPr>
          <w:p w:rsidR="00482DA4" w:rsidRDefault="004056E4">
            <w:pPr>
              <w:spacing w:beforeAutospacing="1" w:afterAutospacing="1"/>
            </w:pPr>
            <w:r>
              <w:rPr>
                <w:color w:val="000000"/>
                <w:sz w:val="22"/>
              </w:rPr>
              <w:t>Buildings</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w:t>
            </w:r>
            <w:r>
              <w:rPr>
                <w:color w:val="000000"/>
                <w:sz w:val="22"/>
              </w:rPr>
              <w:t>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Housing Code Enforcement/Foreclosed Property Care</w:t>
            </w:r>
          </w:p>
        </w:tc>
        <w:tc>
          <w:tcPr>
            <w:tcW w:w="0" w:type="auto"/>
            <w:vAlign w:val="center"/>
          </w:tcPr>
          <w:p w:rsidR="00482DA4" w:rsidRDefault="004056E4">
            <w:pPr>
              <w:spacing w:beforeAutospacing="1" w:afterAutospacing="1"/>
            </w:pPr>
            <w:r>
              <w:rPr>
                <w:color w:val="000000"/>
                <w:sz w:val="22"/>
              </w:rPr>
              <w:t>Household Housing Unit</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r w:rsidR="00482DA4">
        <w:trPr>
          <w:cantSplit/>
        </w:trPr>
        <w:tc>
          <w:tcPr>
            <w:tcW w:w="0" w:type="auto"/>
            <w:vAlign w:val="center"/>
          </w:tcPr>
          <w:p w:rsidR="00482DA4" w:rsidRDefault="004056E4">
            <w:pPr>
              <w:spacing w:beforeAutospacing="1" w:afterAutospacing="1"/>
            </w:pPr>
            <w:r>
              <w:rPr>
                <w:color w:val="000000"/>
                <w:sz w:val="22"/>
              </w:rPr>
              <w:t>provide affordable rental or homeownership</w:t>
            </w:r>
          </w:p>
        </w:tc>
        <w:tc>
          <w:tcPr>
            <w:tcW w:w="0" w:type="auto"/>
            <w:vAlign w:val="center"/>
          </w:tcPr>
          <w:p w:rsidR="00482DA4" w:rsidRDefault="004056E4">
            <w:pPr>
              <w:spacing w:beforeAutospacing="1" w:afterAutospacing="1"/>
            </w:pPr>
            <w:r>
              <w:rPr>
                <w:color w:val="000000"/>
                <w:sz w:val="22"/>
              </w:rPr>
              <w:t>Affordable Housing</w:t>
            </w:r>
            <w:r>
              <w:rPr>
                <w:color w:val="000000"/>
                <w:sz w:val="22"/>
              </w:rPr>
              <w:br/>
            </w:r>
            <w:r>
              <w:rPr>
                <w:color w:val="000000"/>
                <w:sz w:val="22"/>
              </w:rP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482DA4" w:rsidRDefault="004056E4">
            <w:pPr>
              <w:spacing w:beforeAutospacing="1" w:afterAutospacing="1"/>
            </w:pPr>
            <w:r>
              <w:rPr>
                <w:color w:val="000000"/>
                <w:sz w:val="22"/>
              </w:rPr>
              <w:t>CDBG: $</w:t>
            </w:r>
          </w:p>
        </w:tc>
        <w:tc>
          <w:tcPr>
            <w:tcW w:w="0" w:type="auto"/>
            <w:vAlign w:val="center"/>
          </w:tcPr>
          <w:p w:rsidR="00482DA4" w:rsidRDefault="004056E4">
            <w:pPr>
              <w:spacing w:beforeAutospacing="1" w:afterAutospacing="1"/>
            </w:pPr>
            <w:r>
              <w:rPr>
                <w:color w:val="000000"/>
                <w:sz w:val="22"/>
              </w:rPr>
              <w:t>Other</w:t>
            </w:r>
          </w:p>
        </w:tc>
        <w:tc>
          <w:tcPr>
            <w:tcW w:w="0" w:type="auto"/>
            <w:vAlign w:val="center"/>
          </w:tcPr>
          <w:p w:rsidR="00482DA4" w:rsidRDefault="004056E4">
            <w:pPr>
              <w:spacing w:beforeAutospacing="1" w:afterAutospacing="1"/>
            </w:pPr>
            <w:r>
              <w:rPr>
                <w:color w:val="000000"/>
                <w:sz w:val="22"/>
              </w:rPr>
              <w:t>Other</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0</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c>
          <w:tcPr>
            <w:tcW w:w="0" w:type="auto"/>
            <w:vAlign w:val="center"/>
          </w:tcPr>
          <w:p w:rsidR="00482DA4" w:rsidRDefault="004056E4">
            <w:pPr>
              <w:spacing w:beforeAutospacing="1" w:afterAutospacing="1"/>
            </w:pPr>
            <w:r>
              <w:rPr>
                <w:color w:val="000000"/>
                <w:sz w:val="22"/>
              </w:rPr>
              <w:t xml:space="preserve"> </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482DA4" w:rsidRDefault="00482DA4"/>
    <w:p w:rsidR="00482DA4" w:rsidRDefault="00482DA4">
      <w:pPr>
        <w:spacing w:after="0" w:line="240" w:lineRule="auto"/>
      </w:pPr>
    </w:p>
    <w:p w:rsidR="00482DA4" w:rsidRDefault="004056E4">
      <w:pPr>
        <w:keepNext/>
        <w:widowControl w:val="0"/>
        <w:rPr>
          <w:b/>
          <w:sz w:val="24"/>
          <w:szCs w:val="24"/>
        </w:rPr>
      </w:pPr>
      <w:r>
        <w:rPr>
          <w:b/>
          <w:sz w:val="24"/>
          <w:szCs w:val="24"/>
        </w:rPr>
        <w:t xml:space="preserve">Assess how the jurisdiction’s use of funds, </w:t>
      </w:r>
      <w:r>
        <w:rPr>
          <w:b/>
          <w:sz w:val="24"/>
          <w:szCs w:val="24"/>
        </w:rPr>
        <w:t>particularly CDBG, addresses the priorities and specific objectives identified in the plan, giving special attention to the highest priority activities identified.</w:t>
      </w:r>
    </w:p>
    <w:p w:rsidR="00482DA4" w:rsidRDefault="004056E4">
      <w:pPr>
        <w:keepNext/>
        <w:widowControl w:val="0"/>
        <w:spacing w:beforeAutospacing="1" w:afterAutospacing="1"/>
      </w:pPr>
      <w:r>
        <w:t>due to late release of funds for prior grant year (s) we were unable to do any physical acti</w:t>
      </w:r>
      <w:r>
        <w:t xml:space="preserve">vities, however we have submitted environmental reviews for our sidewalk projects as well as utilizing funds for admin fees to get these projects ready to go out to bid. We look forward to moving forward with all our planned activities including a shelter </w:t>
      </w:r>
      <w:r>
        <w:t>house at one of our parks, and assisting with summer camp for low income families next summer and adding additional areas for new sidewalks.</w:t>
      </w:r>
    </w:p>
    <w:p w:rsidR="00482DA4" w:rsidRDefault="00482DA4">
      <w:pPr>
        <w:keepNext/>
        <w:widowControl w:val="0"/>
        <w:spacing w:line="204" w:lineRule="auto"/>
        <w:rPr>
          <w:b/>
          <w:sz w:val="24"/>
          <w:szCs w:val="24"/>
        </w:rPr>
      </w:pPr>
    </w:p>
    <w:p w:rsidR="00482DA4" w:rsidRDefault="00482DA4">
      <w:pPr>
        <w:rPr>
          <w:b/>
          <w:i/>
          <w:sz w:val="26"/>
          <w:szCs w:val="26"/>
        </w:rPr>
        <w:sectPr w:rsidR="00482DA4">
          <w:footerReference w:type="default" r:id="rId8"/>
          <w:pgSz w:w="15840" w:h="12240" w:orient="landscape"/>
          <w:pgMar w:top="1440" w:right="1440" w:bottom="1440" w:left="1440" w:header="720" w:footer="720" w:gutter="0"/>
          <w:cols w:space="720"/>
          <w:docGrid w:linePitch="360"/>
        </w:sectPr>
      </w:pPr>
    </w:p>
    <w:p w:rsidR="00482DA4" w:rsidRDefault="004056E4">
      <w:pPr>
        <w:pStyle w:val="Heading2"/>
        <w:rPr>
          <w:rFonts w:asciiTheme="minorHAnsi" w:hAnsiTheme="minorHAnsi"/>
          <w:i w:val="0"/>
        </w:rPr>
      </w:pPr>
      <w:bookmarkStart w:id="0" w:name="_Toc309810474"/>
      <w:r>
        <w:rPr>
          <w:rFonts w:asciiTheme="minorHAnsi" w:hAnsiTheme="minorHAnsi"/>
          <w:i w:val="0"/>
        </w:rPr>
        <w:t>CR-10 - Racial and Ethnic composition of families assisted</w:t>
      </w:r>
    </w:p>
    <w:p w:rsidR="00482DA4" w:rsidRDefault="004056E4">
      <w:pPr>
        <w:keepNext/>
        <w:widowControl w:val="0"/>
        <w:rPr>
          <w:b/>
          <w:sz w:val="24"/>
          <w:szCs w:val="24"/>
        </w:rPr>
      </w:pPr>
      <w:r>
        <w:rPr>
          <w:b/>
          <w:sz w:val="24"/>
          <w:szCs w:val="24"/>
        </w:rPr>
        <w:t xml:space="preserve">Describe the families assisted (including the racial and ethnic status of families assisted). 91.520(a) </w:t>
      </w:r>
    </w:p>
    <w:p w:rsidR="00482DA4" w:rsidRDefault="00482DA4">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tblGrid>
      <w:tr w:rsidR="00482DA4">
        <w:trPr>
          <w:cantSplit/>
          <w:hidden/>
        </w:trPr>
        <w:tc>
          <w:tcPr>
            <w:tcW w:w="3773" w:type="pct"/>
          </w:tcPr>
          <w:p w:rsidR="00482DA4" w:rsidRDefault="00482DA4">
            <w:pPr>
              <w:widowControl w:val="0"/>
              <w:spacing w:after="0" w:line="240" w:lineRule="auto"/>
              <w:rPr>
                <w:vanish/>
              </w:rPr>
            </w:pPr>
          </w:p>
        </w:tc>
        <w:tc>
          <w:tcPr>
            <w:tcW w:w="1226" w:type="pct"/>
          </w:tcPr>
          <w:p w:rsidR="00482DA4" w:rsidRDefault="004056E4">
            <w:pPr>
              <w:spacing w:after="0"/>
              <w:jc w:val="center"/>
              <w:rPr>
                <w:b/>
              </w:rPr>
            </w:pPr>
            <w:r>
              <w:rPr>
                <w:b/>
              </w:rPr>
              <w:t>CDBG</w:t>
            </w:r>
          </w:p>
        </w:tc>
      </w:tr>
      <w:tr w:rsidR="00482DA4">
        <w:trPr>
          <w:cantSplit/>
        </w:trPr>
        <w:tc>
          <w:tcPr>
            <w:tcW w:w="4823" w:type="dxa"/>
            <w:vAlign w:val="bottom"/>
          </w:tcPr>
          <w:p w:rsidR="00482DA4" w:rsidRDefault="004056E4">
            <w:pPr>
              <w:spacing w:beforeAutospacing="1" w:afterAutospacing="1"/>
            </w:pPr>
            <w:r>
              <w:rPr>
                <w:color w:val="000000"/>
              </w:rPr>
              <w:t>White</w:t>
            </w:r>
          </w:p>
        </w:tc>
        <w:tc>
          <w:tcPr>
            <w:tcW w:w="1568" w:type="dxa"/>
            <w:vAlign w:val="bottom"/>
          </w:tcPr>
          <w:p w:rsidR="00482DA4" w:rsidRDefault="004056E4">
            <w:pPr>
              <w:spacing w:beforeAutospacing="1" w:afterAutospacing="1"/>
              <w:jc w:val="right"/>
            </w:pPr>
            <w:r>
              <w:rPr>
                <w:color w:val="000000"/>
              </w:rPr>
              <w:t>0</w:t>
            </w:r>
          </w:p>
        </w:tc>
      </w:tr>
      <w:tr w:rsidR="00482DA4">
        <w:trPr>
          <w:cantSplit/>
        </w:trPr>
        <w:tc>
          <w:tcPr>
            <w:tcW w:w="4823" w:type="dxa"/>
            <w:vAlign w:val="bottom"/>
          </w:tcPr>
          <w:p w:rsidR="00482DA4" w:rsidRDefault="004056E4">
            <w:pPr>
              <w:spacing w:beforeAutospacing="1" w:afterAutospacing="1"/>
            </w:pPr>
            <w:r>
              <w:rPr>
                <w:color w:val="000000"/>
              </w:rPr>
              <w:t>Black or African American</w:t>
            </w:r>
          </w:p>
        </w:tc>
        <w:tc>
          <w:tcPr>
            <w:tcW w:w="1568" w:type="dxa"/>
            <w:vAlign w:val="bottom"/>
          </w:tcPr>
          <w:p w:rsidR="00482DA4" w:rsidRDefault="004056E4">
            <w:pPr>
              <w:spacing w:beforeAutospacing="1" w:afterAutospacing="1"/>
              <w:jc w:val="right"/>
            </w:pPr>
            <w:r>
              <w:rPr>
                <w:color w:val="000000"/>
              </w:rPr>
              <w:t>0</w:t>
            </w:r>
          </w:p>
        </w:tc>
      </w:tr>
      <w:tr w:rsidR="00482DA4">
        <w:trPr>
          <w:cantSplit/>
        </w:trPr>
        <w:tc>
          <w:tcPr>
            <w:tcW w:w="4823" w:type="dxa"/>
            <w:vAlign w:val="bottom"/>
          </w:tcPr>
          <w:p w:rsidR="00482DA4" w:rsidRDefault="004056E4">
            <w:pPr>
              <w:spacing w:beforeAutospacing="1" w:afterAutospacing="1"/>
            </w:pPr>
            <w:r>
              <w:rPr>
                <w:color w:val="000000"/>
              </w:rPr>
              <w:t>Asian</w:t>
            </w:r>
          </w:p>
        </w:tc>
        <w:tc>
          <w:tcPr>
            <w:tcW w:w="1568" w:type="dxa"/>
            <w:vAlign w:val="bottom"/>
          </w:tcPr>
          <w:p w:rsidR="00482DA4" w:rsidRDefault="004056E4">
            <w:pPr>
              <w:spacing w:beforeAutospacing="1" w:afterAutospacing="1"/>
              <w:jc w:val="right"/>
            </w:pPr>
            <w:r>
              <w:rPr>
                <w:color w:val="000000"/>
              </w:rPr>
              <w:t>0</w:t>
            </w:r>
          </w:p>
        </w:tc>
      </w:tr>
      <w:tr w:rsidR="00482DA4">
        <w:trPr>
          <w:cantSplit/>
        </w:trPr>
        <w:tc>
          <w:tcPr>
            <w:tcW w:w="4823" w:type="dxa"/>
            <w:vAlign w:val="bottom"/>
          </w:tcPr>
          <w:p w:rsidR="00482DA4" w:rsidRDefault="004056E4">
            <w:pPr>
              <w:spacing w:beforeAutospacing="1" w:afterAutospacing="1"/>
            </w:pPr>
            <w:r>
              <w:rPr>
                <w:color w:val="000000"/>
              </w:rPr>
              <w:t>American Indian or American Native</w:t>
            </w:r>
          </w:p>
        </w:tc>
        <w:tc>
          <w:tcPr>
            <w:tcW w:w="1568" w:type="dxa"/>
            <w:vAlign w:val="bottom"/>
          </w:tcPr>
          <w:p w:rsidR="00482DA4" w:rsidRDefault="004056E4">
            <w:pPr>
              <w:spacing w:beforeAutospacing="1" w:afterAutospacing="1"/>
              <w:jc w:val="right"/>
            </w:pPr>
            <w:r>
              <w:rPr>
                <w:color w:val="000000"/>
              </w:rPr>
              <w:t>0</w:t>
            </w:r>
          </w:p>
        </w:tc>
      </w:tr>
      <w:tr w:rsidR="00482DA4">
        <w:trPr>
          <w:cantSplit/>
        </w:trPr>
        <w:tc>
          <w:tcPr>
            <w:tcW w:w="4823" w:type="dxa"/>
            <w:vAlign w:val="bottom"/>
          </w:tcPr>
          <w:p w:rsidR="00482DA4" w:rsidRDefault="004056E4">
            <w:pPr>
              <w:spacing w:beforeAutospacing="1" w:afterAutospacing="1"/>
            </w:pPr>
            <w:r>
              <w:rPr>
                <w:color w:val="000000"/>
              </w:rPr>
              <w:t xml:space="preserve">Native Hawaiian or </w:t>
            </w:r>
            <w:proofErr w:type="gramStart"/>
            <w:r>
              <w:rPr>
                <w:color w:val="000000"/>
              </w:rPr>
              <w:t>Other</w:t>
            </w:r>
            <w:proofErr w:type="gramEnd"/>
            <w:r>
              <w:rPr>
                <w:color w:val="000000"/>
              </w:rPr>
              <w:t xml:space="preserve"> Pacific Islander</w:t>
            </w:r>
          </w:p>
        </w:tc>
        <w:tc>
          <w:tcPr>
            <w:tcW w:w="1568" w:type="dxa"/>
            <w:vAlign w:val="bottom"/>
          </w:tcPr>
          <w:p w:rsidR="00482DA4" w:rsidRDefault="004056E4">
            <w:pPr>
              <w:spacing w:beforeAutospacing="1" w:afterAutospacing="1"/>
              <w:jc w:val="right"/>
            </w:pPr>
            <w:r>
              <w:rPr>
                <w:color w:val="000000"/>
              </w:rPr>
              <w:t>0</w:t>
            </w:r>
          </w:p>
        </w:tc>
      </w:tr>
    </w:tbl>
    <w:p w:rsidR="00482DA4" w:rsidRDefault="00482DA4">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482DA4">
        <w:trPr>
          <w:cantSplit/>
          <w:hidden/>
        </w:trPr>
        <w:tc>
          <w:tcPr>
            <w:tcW w:w="3761" w:type="pct"/>
          </w:tcPr>
          <w:p w:rsidR="00482DA4" w:rsidRDefault="00482DA4">
            <w:pPr>
              <w:widowControl w:val="0"/>
              <w:spacing w:after="0" w:line="240" w:lineRule="auto"/>
              <w:rPr>
                <w:vanish/>
              </w:rPr>
            </w:pPr>
          </w:p>
        </w:tc>
        <w:tc>
          <w:tcPr>
            <w:tcW w:w="1239" w:type="pct"/>
            <w:gridSpan w:val="2"/>
          </w:tcPr>
          <w:p w:rsidR="00482DA4" w:rsidRDefault="00482DA4">
            <w:pPr>
              <w:widowControl w:val="0"/>
              <w:spacing w:after="0" w:line="240" w:lineRule="auto"/>
              <w:jc w:val="center"/>
              <w:rPr>
                <w:b/>
                <w:vanish/>
              </w:rPr>
            </w:pPr>
          </w:p>
        </w:tc>
      </w:tr>
      <w:tr w:rsidR="00482DA4">
        <w:trPr>
          <w:gridAfter w:val="1"/>
          <w:wAfter w:w="21" w:type="dxa"/>
          <w:cantSplit/>
        </w:trPr>
        <w:tc>
          <w:tcPr>
            <w:tcW w:w="4823" w:type="dxa"/>
            <w:vAlign w:val="bottom"/>
          </w:tcPr>
          <w:p w:rsidR="00482DA4" w:rsidRDefault="004056E4">
            <w:pPr>
              <w:spacing w:beforeAutospacing="1" w:afterAutospacing="1"/>
            </w:pPr>
            <w:r>
              <w:rPr>
                <w:b/>
                <w:color w:val="000000"/>
              </w:rPr>
              <w:t>Total</w:t>
            </w:r>
          </w:p>
        </w:tc>
        <w:tc>
          <w:tcPr>
            <w:tcW w:w="1568" w:type="dxa"/>
            <w:vAlign w:val="bottom"/>
          </w:tcPr>
          <w:p w:rsidR="00482DA4" w:rsidRDefault="004056E4">
            <w:pPr>
              <w:spacing w:beforeAutospacing="1" w:afterAutospacing="1"/>
              <w:jc w:val="right"/>
            </w:pPr>
            <w:r>
              <w:rPr>
                <w:b/>
                <w:color w:val="000000"/>
              </w:rPr>
              <w:t>0</w:t>
            </w:r>
          </w:p>
        </w:tc>
      </w:tr>
    </w:tbl>
    <w:p w:rsidR="00482DA4" w:rsidRDefault="00482DA4">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482DA4">
        <w:trPr>
          <w:cantSplit/>
          <w:hidden/>
        </w:trPr>
        <w:tc>
          <w:tcPr>
            <w:tcW w:w="3761" w:type="pct"/>
          </w:tcPr>
          <w:p w:rsidR="00482DA4" w:rsidRDefault="00482DA4">
            <w:pPr>
              <w:widowControl w:val="0"/>
              <w:spacing w:after="0" w:line="240" w:lineRule="auto"/>
              <w:rPr>
                <w:vanish/>
              </w:rPr>
            </w:pPr>
          </w:p>
        </w:tc>
        <w:tc>
          <w:tcPr>
            <w:tcW w:w="1239" w:type="pct"/>
            <w:gridSpan w:val="2"/>
          </w:tcPr>
          <w:p w:rsidR="00482DA4" w:rsidRDefault="00482DA4">
            <w:pPr>
              <w:widowControl w:val="0"/>
              <w:spacing w:after="0" w:line="240" w:lineRule="auto"/>
              <w:jc w:val="center"/>
              <w:rPr>
                <w:b/>
                <w:vanish/>
              </w:rPr>
            </w:pPr>
          </w:p>
        </w:tc>
      </w:tr>
      <w:tr w:rsidR="00482DA4">
        <w:trPr>
          <w:gridAfter w:val="1"/>
          <w:wAfter w:w="21" w:type="dxa"/>
          <w:cantSplit/>
        </w:trPr>
        <w:tc>
          <w:tcPr>
            <w:tcW w:w="4823" w:type="dxa"/>
            <w:vAlign w:val="bottom"/>
          </w:tcPr>
          <w:p w:rsidR="00482DA4" w:rsidRDefault="004056E4">
            <w:pPr>
              <w:spacing w:beforeAutospacing="1" w:afterAutospacing="1"/>
            </w:pPr>
            <w:r>
              <w:rPr>
                <w:color w:val="000000"/>
              </w:rPr>
              <w:t>Hispanic</w:t>
            </w:r>
          </w:p>
        </w:tc>
        <w:tc>
          <w:tcPr>
            <w:tcW w:w="1568" w:type="dxa"/>
            <w:vAlign w:val="bottom"/>
          </w:tcPr>
          <w:p w:rsidR="00482DA4" w:rsidRDefault="004056E4">
            <w:pPr>
              <w:spacing w:beforeAutospacing="1" w:afterAutospacing="1"/>
              <w:jc w:val="right"/>
            </w:pPr>
            <w:r>
              <w:rPr>
                <w:color w:val="000000"/>
              </w:rPr>
              <w:t>0</w:t>
            </w:r>
          </w:p>
        </w:tc>
      </w:tr>
      <w:tr w:rsidR="00482DA4">
        <w:trPr>
          <w:gridAfter w:val="1"/>
          <w:wAfter w:w="21" w:type="dxa"/>
          <w:cantSplit/>
        </w:trPr>
        <w:tc>
          <w:tcPr>
            <w:tcW w:w="4823" w:type="dxa"/>
            <w:vAlign w:val="bottom"/>
          </w:tcPr>
          <w:p w:rsidR="00482DA4" w:rsidRDefault="004056E4">
            <w:pPr>
              <w:spacing w:beforeAutospacing="1" w:afterAutospacing="1"/>
            </w:pPr>
            <w:r>
              <w:rPr>
                <w:color w:val="000000"/>
              </w:rPr>
              <w:t>Not Hispanic</w:t>
            </w:r>
          </w:p>
        </w:tc>
        <w:tc>
          <w:tcPr>
            <w:tcW w:w="1568" w:type="dxa"/>
            <w:vAlign w:val="bottom"/>
          </w:tcPr>
          <w:p w:rsidR="00482DA4" w:rsidRDefault="004056E4">
            <w:pPr>
              <w:spacing w:beforeAutospacing="1" w:afterAutospacing="1"/>
              <w:jc w:val="right"/>
            </w:pPr>
            <w:r>
              <w:rPr>
                <w:color w:val="000000"/>
              </w:rPr>
              <w:t>0</w:t>
            </w:r>
          </w:p>
        </w:tc>
      </w:tr>
    </w:tbl>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keepNext/>
        <w:widowControl w:val="0"/>
        <w:spacing w:after="0" w:line="240" w:lineRule="auto"/>
        <w:rPr>
          <w:b/>
          <w:vanish/>
          <w:sz w:val="24"/>
          <w:szCs w:val="24"/>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pStyle w:val="NoSpacing"/>
        <w:rPr>
          <w:vanish/>
        </w:rPr>
      </w:pPr>
    </w:p>
    <w:p w:rsidR="00482DA4" w:rsidRDefault="00482DA4">
      <w:pPr>
        <w:keepNext/>
        <w:widowControl w:val="0"/>
        <w:rPr>
          <w:rFonts w:asciiTheme="minorHAnsi" w:hAnsiTheme="minorHAnsi"/>
          <w:b/>
          <w:sz w:val="20"/>
          <w:szCs w:val="20"/>
        </w:rPr>
      </w:pPr>
    </w:p>
    <w:p w:rsidR="00482DA4" w:rsidRDefault="00482DA4">
      <w:pPr>
        <w:keepNext/>
        <w:widowControl w:val="0"/>
        <w:rPr>
          <w:rFonts w:asciiTheme="minorHAnsi" w:hAnsiTheme="minorHAnsi"/>
          <w:b/>
          <w:sz w:val="20"/>
          <w:szCs w:val="20"/>
        </w:rPr>
      </w:pPr>
    </w:p>
    <w:p w:rsidR="00482DA4" w:rsidRDefault="004056E4">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482DA4" w:rsidRDefault="00482DA4">
      <w:pPr>
        <w:widowControl w:val="0"/>
        <w:rPr>
          <w:b/>
          <w:sz w:val="24"/>
          <w:szCs w:val="24"/>
        </w:rPr>
      </w:pPr>
    </w:p>
    <w:p w:rsidR="00482DA4" w:rsidRDefault="004056E4">
      <w:pPr>
        <w:widowControl w:val="0"/>
        <w:rPr>
          <w:b/>
          <w:sz w:val="24"/>
          <w:szCs w:val="24"/>
        </w:rPr>
      </w:pPr>
      <w:r>
        <w:rPr>
          <w:b/>
          <w:sz w:val="24"/>
          <w:szCs w:val="24"/>
        </w:rPr>
        <w:t>Narrative</w:t>
      </w:r>
    </w:p>
    <w:p w:rsidR="00482DA4" w:rsidRDefault="004056E4">
      <w:pPr>
        <w:widowControl w:val="0"/>
        <w:spacing w:beforeAutospacing="1" w:afterAutospacing="1"/>
      </w:pPr>
      <w:r>
        <w:t>we hope to have a large diverse group of families that we assist over the next 6-8 months with all of our projects we have been trying to get moving. </w:t>
      </w:r>
    </w:p>
    <w:p w:rsidR="00482DA4" w:rsidRDefault="00482DA4">
      <w:pPr>
        <w:widowControl w:val="0"/>
      </w:pPr>
    </w:p>
    <w:p w:rsidR="00482DA4" w:rsidRDefault="00482DA4">
      <w:pPr>
        <w:sectPr w:rsidR="00482DA4">
          <w:pgSz w:w="12240" w:h="15840" w:code="1"/>
          <w:pgMar w:top="1440" w:right="1440" w:bottom="1440" w:left="1440" w:header="720" w:footer="720" w:gutter="0"/>
          <w:cols w:space="720"/>
          <w:docGrid w:linePitch="360"/>
        </w:sectPr>
      </w:pPr>
    </w:p>
    <w:bookmarkEnd w:id="0"/>
    <w:p w:rsidR="00482DA4" w:rsidRDefault="004056E4">
      <w:pPr>
        <w:pStyle w:val="Heading2"/>
        <w:rPr>
          <w:rFonts w:ascii="Calibri" w:hAnsi="Calibri"/>
          <w:i w:val="0"/>
        </w:rPr>
      </w:pPr>
      <w:r>
        <w:rPr>
          <w:rFonts w:ascii="Calibri" w:hAnsi="Calibri"/>
          <w:i w:val="0"/>
        </w:rPr>
        <w:t xml:space="preserve">CR-15 - </w:t>
      </w:r>
      <w:r>
        <w:rPr>
          <w:rFonts w:ascii="Calibri" w:hAnsi="Calibri"/>
          <w:i w:val="0"/>
        </w:rPr>
        <w:t>Resources and Investments 91.520(a)</w:t>
      </w:r>
    </w:p>
    <w:p w:rsidR="00482DA4" w:rsidRDefault="004056E4">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482DA4">
        <w:trPr>
          <w:cantSplit/>
        </w:trPr>
        <w:tc>
          <w:tcPr>
            <w:tcW w:w="2394" w:type="dxa"/>
          </w:tcPr>
          <w:p w:rsidR="00482DA4" w:rsidRDefault="004056E4">
            <w:pPr>
              <w:keepNext/>
              <w:widowControl w:val="0"/>
              <w:spacing w:after="0" w:line="240" w:lineRule="auto"/>
              <w:jc w:val="center"/>
              <w:rPr>
                <w:rFonts w:cs="Arial"/>
                <w:b/>
              </w:rPr>
            </w:pPr>
            <w:r>
              <w:rPr>
                <w:rFonts w:cs="Arial"/>
                <w:b/>
              </w:rPr>
              <w:t>Source of Funds</w:t>
            </w:r>
          </w:p>
        </w:tc>
        <w:tc>
          <w:tcPr>
            <w:tcW w:w="2394" w:type="dxa"/>
          </w:tcPr>
          <w:p w:rsidR="00482DA4" w:rsidRDefault="004056E4">
            <w:pPr>
              <w:keepNext/>
              <w:widowControl w:val="0"/>
              <w:spacing w:after="0" w:line="240" w:lineRule="auto"/>
              <w:jc w:val="center"/>
              <w:rPr>
                <w:rFonts w:cs="Arial"/>
                <w:b/>
              </w:rPr>
            </w:pPr>
            <w:r>
              <w:rPr>
                <w:rFonts w:cs="Arial"/>
                <w:b/>
              </w:rPr>
              <w:t>Source</w:t>
            </w:r>
          </w:p>
        </w:tc>
        <w:tc>
          <w:tcPr>
            <w:tcW w:w="2394" w:type="dxa"/>
          </w:tcPr>
          <w:p w:rsidR="00482DA4" w:rsidRDefault="004056E4">
            <w:pPr>
              <w:keepNext/>
              <w:spacing w:after="0" w:line="240" w:lineRule="auto"/>
              <w:jc w:val="center"/>
              <w:rPr>
                <w:rFonts w:cs="Arial"/>
                <w:b/>
              </w:rPr>
            </w:pPr>
            <w:r>
              <w:rPr>
                <w:rFonts w:cs="Arial"/>
                <w:b/>
              </w:rPr>
              <w:t>Resources Made Available</w:t>
            </w:r>
          </w:p>
        </w:tc>
        <w:tc>
          <w:tcPr>
            <w:tcW w:w="2394" w:type="dxa"/>
          </w:tcPr>
          <w:p w:rsidR="00482DA4" w:rsidRDefault="004056E4">
            <w:pPr>
              <w:keepNext/>
              <w:widowControl w:val="0"/>
              <w:spacing w:after="0" w:line="240" w:lineRule="auto"/>
              <w:jc w:val="center"/>
              <w:rPr>
                <w:rFonts w:cs="Arial"/>
                <w:b/>
              </w:rPr>
            </w:pPr>
            <w:r>
              <w:rPr>
                <w:rFonts w:cs="Arial"/>
                <w:b/>
              </w:rPr>
              <w:t>Amount Expended During Program Year</w:t>
            </w:r>
          </w:p>
        </w:tc>
      </w:tr>
      <w:tr w:rsidR="00482DA4">
        <w:trPr>
          <w:cantSplit/>
        </w:trPr>
        <w:tc>
          <w:tcPr>
            <w:tcW w:w="0" w:type="auto"/>
            <w:vAlign w:val="bottom"/>
          </w:tcPr>
          <w:p w:rsidR="00482DA4" w:rsidRDefault="004056E4">
            <w:pPr>
              <w:spacing w:beforeAutospacing="1" w:afterAutospacing="1"/>
            </w:pPr>
            <w:r>
              <w:rPr>
                <w:color w:val="000000"/>
              </w:rPr>
              <w:t>CDBG</w:t>
            </w:r>
          </w:p>
        </w:tc>
        <w:tc>
          <w:tcPr>
            <w:tcW w:w="0" w:type="auto"/>
            <w:vAlign w:val="bottom"/>
          </w:tcPr>
          <w:p w:rsidR="00482DA4" w:rsidRDefault="004056E4">
            <w:pPr>
              <w:spacing w:beforeAutospacing="1" w:afterAutospacing="1"/>
            </w:pPr>
            <w:r>
              <w:rPr>
                <w:color w:val="000000"/>
              </w:rPr>
              <w:t>public - federal</w:t>
            </w:r>
          </w:p>
        </w:tc>
        <w:tc>
          <w:tcPr>
            <w:tcW w:w="0" w:type="auto"/>
            <w:vAlign w:val="bottom"/>
          </w:tcPr>
          <w:p w:rsidR="00482DA4" w:rsidRDefault="004056E4">
            <w:pPr>
              <w:spacing w:beforeAutospacing="1" w:afterAutospacing="1"/>
              <w:jc w:val="right"/>
            </w:pPr>
            <w:r>
              <w:rPr>
                <w:color w:val="000000"/>
              </w:rPr>
              <w:t>270,000</w:t>
            </w:r>
          </w:p>
        </w:tc>
        <w:tc>
          <w:tcPr>
            <w:tcW w:w="0" w:type="auto"/>
            <w:vAlign w:val="bottom"/>
          </w:tcPr>
          <w:p w:rsidR="00482DA4" w:rsidRDefault="004056E4">
            <w:pPr>
              <w:spacing w:beforeAutospacing="1" w:afterAutospacing="1"/>
              <w:jc w:val="right"/>
            </w:pPr>
            <w:r>
              <w:rPr>
                <w:color w:val="000000"/>
              </w:rPr>
              <w:t>10,172</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482DA4" w:rsidRDefault="00482DA4">
      <w:pPr>
        <w:spacing w:after="0" w:line="240" w:lineRule="auto"/>
        <w:rPr>
          <w:b/>
          <w:sz w:val="24"/>
          <w:szCs w:val="24"/>
        </w:rPr>
      </w:pPr>
    </w:p>
    <w:p w:rsidR="00482DA4" w:rsidRDefault="004056E4">
      <w:pPr>
        <w:spacing w:after="0" w:line="240" w:lineRule="auto"/>
        <w:rPr>
          <w:b/>
          <w:sz w:val="24"/>
          <w:szCs w:val="24"/>
        </w:rPr>
      </w:pPr>
      <w:r>
        <w:rPr>
          <w:b/>
          <w:sz w:val="24"/>
          <w:szCs w:val="24"/>
        </w:rPr>
        <w:t>Narrative</w:t>
      </w:r>
    </w:p>
    <w:p w:rsidR="00482DA4" w:rsidRDefault="00482DA4">
      <w:pPr>
        <w:spacing w:after="0" w:line="240" w:lineRule="auto"/>
        <w:rPr>
          <w:rFonts w:cs="Arial"/>
        </w:rPr>
      </w:pPr>
    </w:p>
    <w:p w:rsidR="00482DA4" w:rsidRDefault="00482DA4">
      <w:pPr>
        <w:spacing w:after="0" w:line="240" w:lineRule="auto"/>
        <w:rPr>
          <w:b/>
          <w:sz w:val="24"/>
          <w:szCs w:val="24"/>
        </w:rPr>
      </w:pPr>
    </w:p>
    <w:p w:rsidR="00482DA4" w:rsidRDefault="004056E4">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064"/>
        <w:gridCol w:w="2064"/>
        <w:gridCol w:w="2854"/>
      </w:tblGrid>
      <w:tr w:rsidR="00482DA4">
        <w:trPr>
          <w:cantSplit/>
        </w:trPr>
        <w:tc>
          <w:tcPr>
            <w:tcW w:w="2394" w:type="dxa"/>
          </w:tcPr>
          <w:p w:rsidR="00482DA4" w:rsidRDefault="004056E4">
            <w:pPr>
              <w:keepNext/>
              <w:widowControl w:val="0"/>
              <w:spacing w:after="0" w:line="240" w:lineRule="auto"/>
              <w:jc w:val="center"/>
              <w:rPr>
                <w:rFonts w:cs="Arial"/>
                <w:b/>
              </w:rPr>
            </w:pPr>
            <w:r>
              <w:rPr>
                <w:rFonts w:cs="Arial"/>
                <w:b/>
              </w:rPr>
              <w:t>Target Area</w:t>
            </w:r>
          </w:p>
        </w:tc>
        <w:tc>
          <w:tcPr>
            <w:tcW w:w="2394" w:type="dxa"/>
          </w:tcPr>
          <w:p w:rsidR="00482DA4" w:rsidRDefault="004056E4">
            <w:pPr>
              <w:keepNext/>
              <w:widowControl w:val="0"/>
              <w:spacing w:after="0" w:line="240" w:lineRule="auto"/>
              <w:jc w:val="center"/>
              <w:rPr>
                <w:rFonts w:cs="Arial"/>
                <w:b/>
              </w:rPr>
            </w:pPr>
            <w:r>
              <w:rPr>
                <w:rFonts w:cs="Arial"/>
                <w:b/>
              </w:rPr>
              <w:t>Planned Percentage of Allocation</w:t>
            </w:r>
          </w:p>
        </w:tc>
        <w:tc>
          <w:tcPr>
            <w:tcW w:w="2394" w:type="dxa"/>
          </w:tcPr>
          <w:p w:rsidR="00482DA4" w:rsidRDefault="004056E4">
            <w:pPr>
              <w:keepNext/>
              <w:spacing w:after="0" w:line="240" w:lineRule="auto"/>
              <w:jc w:val="center"/>
              <w:rPr>
                <w:rFonts w:cs="Arial"/>
                <w:b/>
              </w:rPr>
            </w:pPr>
            <w:r>
              <w:rPr>
                <w:rFonts w:cs="Arial"/>
                <w:b/>
              </w:rPr>
              <w:t>Actual Percentage of Allocation</w:t>
            </w:r>
          </w:p>
        </w:tc>
        <w:tc>
          <w:tcPr>
            <w:tcW w:w="2394" w:type="dxa"/>
          </w:tcPr>
          <w:p w:rsidR="00482DA4" w:rsidRDefault="004056E4">
            <w:pPr>
              <w:keepNext/>
              <w:widowControl w:val="0"/>
              <w:spacing w:after="0" w:line="240" w:lineRule="auto"/>
              <w:jc w:val="center"/>
              <w:rPr>
                <w:rFonts w:cs="Arial"/>
                <w:b/>
              </w:rPr>
            </w:pPr>
            <w:r>
              <w:rPr>
                <w:rFonts w:cs="Arial"/>
                <w:b/>
              </w:rPr>
              <w:t>Narrative Description</w:t>
            </w:r>
          </w:p>
        </w:tc>
      </w:tr>
      <w:tr w:rsidR="00482DA4">
        <w:trPr>
          <w:cantSplit/>
        </w:trPr>
        <w:tc>
          <w:tcPr>
            <w:tcW w:w="0" w:type="auto"/>
            <w:vAlign w:val="bottom"/>
          </w:tcPr>
          <w:p w:rsidR="00482DA4" w:rsidRDefault="004056E4">
            <w:pPr>
              <w:spacing w:beforeAutospacing="1" w:afterAutospacing="1"/>
            </w:pPr>
            <w:r>
              <w:rPr>
                <w:color w:val="000000"/>
              </w:rPr>
              <w:t>City of Jeffersonville target Area</w:t>
            </w:r>
          </w:p>
        </w:tc>
        <w:tc>
          <w:tcPr>
            <w:tcW w:w="0" w:type="auto"/>
            <w:vAlign w:val="bottom"/>
          </w:tcPr>
          <w:p w:rsidR="00482DA4" w:rsidRDefault="004056E4">
            <w:pPr>
              <w:spacing w:beforeAutospacing="1" w:afterAutospacing="1"/>
            </w:pPr>
            <w:r>
              <w:rPr>
                <w:color w:val="000000"/>
              </w:rPr>
              <w:t>100</w:t>
            </w:r>
          </w:p>
        </w:tc>
        <w:tc>
          <w:tcPr>
            <w:tcW w:w="0" w:type="auto"/>
            <w:vAlign w:val="bottom"/>
          </w:tcPr>
          <w:p w:rsidR="00482DA4" w:rsidRDefault="004056E4">
            <w:pPr>
              <w:spacing w:beforeAutospacing="1" w:afterAutospacing="1"/>
            </w:pPr>
            <w:r>
              <w:rPr>
                <w:color w:val="000000"/>
              </w:rPr>
              <w:t>100</w:t>
            </w:r>
          </w:p>
        </w:tc>
        <w:tc>
          <w:tcPr>
            <w:tcW w:w="0" w:type="auto"/>
            <w:vAlign w:val="bottom"/>
          </w:tcPr>
          <w:p w:rsidR="00482DA4" w:rsidRDefault="004056E4">
            <w:pPr>
              <w:spacing w:beforeAutospacing="1" w:afterAutospacing="1"/>
            </w:pPr>
            <w:r>
              <w:rPr>
                <w:color w:val="000000"/>
              </w:rPr>
              <w:t>admin fees for all planning, legal etc.</w:t>
            </w:r>
          </w:p>
        </w:tc>
      </w:tr>
      <w:tr w:rsidR="00482DA4">
        <w:trPr>
          <w:cantSplit/>
        </w:trPr>
        <w:tc>
          <w:tcPr>
            <w:tcW w:w="0" w:type="auto"/>
            <w:vAlign w:val="bottom"/>
          </w:tcPr>
          <w:p w:rsidR="00482DA4" w:rsidRDefault="004056E4">
            <w:pPr>
              <w:spacing w:beforeAutospacing="1" w:afterAutospacing="1"/>
            </w:pPr>
            <w:r>
              <w:rPr>
                <w:color w:val="000000"/>
              </w:rPr>
              <w:t>Local Target Area</w:t>
            </w:r>
          </w:p>
        </w:tc>
        <w:tc>
          <w:tcPr>
            <w:tcW w:w="0" w:type="auto"/>
            <w:vAlign w:val="bottom"/>
          </w:tcPr>
          <w:p w:rsidR="00482DA4" w:rsidRDefault="004056E4">
            <w:pPr>
              <w:spacing w:beforeAutospacing="1" w:afterAutospacing="1"/>
            </w:pPr>
            <w:r>
              <w:rPr>
                <w:color w:val="000000"/>
              </w:rPr>
              <w:t xml:space="preserve"> </w:t>
            </w:r>
          </w:p>
        </w:tc>
        <w:tc>
          <w:tcPr>
            <w:tcW w:w="0" w:type="auto"/>
            <w:vAlign w:val="bottom"/>
          </w:tcPr>
          <w:p w:rsidR="00482DA4" w:rsidRDefault="004056E4">
            <w:pPr>
              <w:spacing w:beforeAutospacing="1" w:afterAutospacing="1"/>
            </w:pPr>
            <w:r>
              <w:rPr>
                <w:color w:val="000000"/>
              </w:rPr>
              <w:t>0</w:t>
            </w:r>
          </w:p>
        </w:tc>
        <w:tc>
          <w:tcPr>
            <w:tcW w:w="0" w:type="auto"/>
            <w:vAlign w:val="bottom"/>
          </w:tcPr>
          <w:p w:rsidR="00482DA4" w:rsidRDefault="004056E4">
            <w:pPr>
              <w:spacing w:beforeAutospacing="1" w:afterAutospacing="1"/>
            </w:pPr>
            <w:r>
              <w:rPr>
                <w:color w:val="000000"/>
              </w:rPr>
              <w:t xml:space="preserve"> </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482DA4" w:rsidRDefault="00482DA4">
      <w:pPr>
        <w:keepNext/>
        <w:widowControl w:val="0"/>
        <w:spacing w:line="204" w:lineRule="auto"/>
        <w:rPr>
          <w:b/>
          <w:sz w:val="24"/>
          <w:szCs w:val="24"/>
        </w:rPr>
      </w:pPr>
    </w:p>
    <w:p w:rsidR="00482DA4" w:rsidRDefault="004056E4">
      <w:pPr>
        <w:widowControl w:val="0"/>
        <w:spacing w:line="204" w:lineRule="auto"/>
        <w:rPr>
          <w:b/>
          <w:sz w:val="24"/>
          <w:szCs w:val="24"/>
        </w:rPr>
      </w:pPr>
      <w:r>
        <w:rPr>
          <w:b/>
          <w:sz w:val="24"/>
          <w:szCs w:val="24"/>
        </w:rPr>
        <w:t>Narrative</w:t>
      </w:r>
    </w:p>
    <w:p w:rsidR="00482DA4" w:rsidRDefault="004056E4">
      <w:pPr>
        <w:widowControl w:val="0"/>
        <w:spacing w:beforeAutospacing="1" w:afterAutospacing="1"/>
        <w:rPr>
          <w:rFonts w:cs="Arial"/>
        </w:rPr>
      </w:pPr>
      <w:r>
        <w:rPr>
          <w:rFonts w:cs="Arial"/>
        </w:rPr>
        <w:t>The admin fees are for all the planning and admin work over the last few plan years. It also covered legal advertisements, meeting stenographer and any other fees incurred that fall under administrative.</w:t>
      </w:r>
    </w:p>
    <w:p w:rsidR="00482DA4" w:rsidRDefault="004056E4">
      <w:pPr>
        <w:pageBreakBefore/>
        <w:widowControl w:val="0"/>
        <w:spacing w:line="240" w:lineRule="auto"/>
        <w:rPr>
          <w:b/>
          <w:sz w:val="24"/>
          <w:szCs w:val="24"/>
        </w:rPr>
      </w:pPr>
      <w:r>
        <w:rPr>
          <w:b/>
          <w:sz w:val="24"/>
          <w:szCs w:val="24"/>
        </w:rPr>
        <w:t>Leveraging</w:t>
      </w:r>
    </w:p>
    <w:p w:rsidR="00482DA4" w:rsidRDefault="004056E4">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w:t>
      </w:r>
      <w:r>
        <w:rPr>
          <w:b/>
          <w:sz w:val="24"/>
          <w:szCs w:val="24"/>
        </w:rPr>
        <w:t>additional resources (private, state and local funds), including a description of how matching requirements were satisfied, as well as how any publicly owned land or property located within the jurisdiction that were used to address the needs identified in</w:t>
      </w:r>
      <w:r>
        <w:rPr>
          <w:b/>
          <w:sz w:val="24"/>
          <w:szCs w:val="24"/>
        </w:rPr>
        <w:t xml:space="preserve"> the plan.</w:t>
      </w:r>
    </w:p>
    <w:p w:rsidR="00482DA4" w:rsidRDefault="00482DA4">
      <w:pPr>
        <w:widowControl w:val="0"/>
        <w:spacing w:after="0" w:line="240" w:lineRule="auto"/>
        <w:rPr>
          <w:sz w:val="24"/>
          <w:szCs w:val="24"/>
        </w:rPr>
      </w:pPr>
    </w:p>
    <w:p w:rsidR="00482DA4" w:rsidRDefault="00482DA4">
      <w:pPr>
        <w:widowControl w:val="0"/>
        <w:spacing w:after="0" w:line="240" w:lineRule="auto"/>
        <w:rPr>
          <w:sz w:val="24"/>
          <w:szCs w:val="24"/>
        </w:rPr>
      </w:pPr>
    </w:p>
    <w:p w:rsidR="00482DA4" w:rsidRDefault="00482DA4">
      <w:pPr>
        <w:spacing w:after="0" w:line="240" w:lineRule="auto"/>
      </w:pPr>
      <w:bookmarkStart w:id="1" w:name="_Toc309810475"/>
    </w:p>
    <w:p w:rsidR="00482DA4" w:rsidRDefault="00482DA4">
      <w:pPr>
        <w:sectPr w:rsidR="00482DA4">
          <w:pgSz w:w="12240" w:h="15840" w:code="1"/>
          <w:pgMar w:top="1440" w:right="1440" w:bottom="1440" w:left="1440" w:header="720" w:footer="720" w:gutter="0"/>
          <w:cols w:space="720"/>
          <w:docGrid w:linePitch="360"/>
        </w:sectPr>
      </w:pPr>
    </w:p>
    <w:p w:rsidR="00482DA4" w:rsidRDefault="004056E4">
      <w:pPr>
        <w:pStyle w:val="Heading2"/>
        <w:rPr>
          <w:rFonts w:ascii="Calibri" w:hAnsi="Calibri"/>
          <w:i w:val="0"/>
        </w:rPr>
      </w:pPr>
      <w:r>
        <w:rPr>
          <w:rFonts w:ascii="Calibri" w:hAnsi="Calibri"/>
          <w:i w:val="0"/>
        </w:rPr>
        <w:t>CR-20 - Affordable Housing 91.520(b)</w:t>
      </w:r>
    </w:p>
    <w:p w:rsidR="00482DA4" w:rsidRDefault="004056E4">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w:t>
      </w:r>
      <w:r>
        <w:rPr>
          <w:b/>
          <w:sz w:val="24"/>
          <w:szCs w:val="24"/>
        </w:rPr>
        <w:t>le-income persons served.</w:t>
      </w:r>
    </w:p>
    <w:p w:rsidR="00482DA4" w:rsidRDefault="00482DA4">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482DA4">
        <w:trPr>
          <w:cantSplit/>
          <w:tblHeader/>
        </w:trPr>
        <w:tc>
          <w:tcPr>
            <w:tcW w:w="4293" w:type="dxa"/>
          </w:tcPr>
          <w:p w:rsidR="00482DA4" w:rsidRDefault="00482DA4">
            <w:pPr>
              <w:pStyle w:val="Caption"/>
              <w:keepNext/>
              <w:widowControl w:val="0"/>
              <w:jc w:val="center"/>
              <w:rPr>
                <w:rFonts w:ascii="Calibri" w:hAnsi="Calibri"/>
                <w:sz w:val="22"/>
                <w:szCs w:val="22"/>
              </w:rPr>
            </w:pPr>
          </w:p>
        </w:tc>
        <w:tc>
          <w:tcPr>
            <w:tcW w:w="2648" w:type="dxa"/>
          </w:tcPr>
          <w:p w:rsidR="00482DA4" w:rsidRDefault="004056E4">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482DA4" w:rsidRDefault="004056E4">
            <w:pPr>
              <w:pStyle w:val="Caption"/>
              <w:keepNext/>
              <w:widowControl w:val="0"/>
              <w:jc w:val="center"/>
              <w:rPr>
                <w:rFonts w:ascii="Calibri" w:hAnsi="Calibri"/>
                <w:sz w:val="22"/>
                <w:szCs w:val="22"/>
              </w:rPr>
            </w:pPr>
            <w:r>
              <w:rPr>
                <w:rFonts w:ascii="Calibri" w:hAnsi="Calibri"/>
                <w:sz w:val="22"/>
                <w:szCs w:val="22"/>
              </w:rPr>
              <w:t>Actual</w:t>
            </w:r>
          </w:p>
        </w:tc>
      </w:tr>
      <w:tr w:rsidR="00482DA4">
        <w:trPr>
          <w:cantSplit/>
        </w:trPr>
        <w:tc>
          <w:tcPr>
            <w:tcW w:w="4293" w:type="dxa"/>
            <w:vAlign w:val="bottom"/>
          </w:tcPr>
          <w:p w:rsidR="00482DA4" w:rsidRDefault="004056E4">
            <w:pPr>
              <w:spacing w:beforeAutospacing="1" w:afterAutospacing="1"/>
            </w:pPr>
            <w:r>
              <w:rPr>
                <w:color w:val="000000"/>
              </w:rPr>
              <w:t>Number of Homeless households to be provided affordable housing units</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vAlign w:val="bottom"/>
          </w:tcPr>
          <w:p w:rsidR="00482DA4" w:rsidRDefault="004056E4">
            <w:pPr>
              <w:spacing w:beforeAutospacing="1" w:afterAutospacing="1"/>
            </w:pPr>
            <w:r>
              <w:rPr>
                <w:color w:val="000000"/>
              </w:rPr>
              <w:t>Number of Non-Homeless households to be provided affordable housing units</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vAlign w:val="bottom"/>
          </w:tcPr>
          <w:p w:rsidR="00482DA4" w:rsidRDefault="004056E4">
            <w:pPr>
              <w:spacing w:beforeAutospacing="1" w:afterAutospacing="1"/>
            </w:pPr>
            <w:r>
              <w:rPr>
                <w:color w:val="000000"/>
              </w:rPr>
              <w:t>Number of Special-Needs households to be provided affordable housing units</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tcPr>
          <w:p w:rsidR="00482DA4" w:rsidRDefault="004056E4">
            <w:pPr>
              <w:spacing w:beforeAutospacing="1" w:afterAutospacing="1"/>
            </w:pPr>
            <w:r>
              <w:rPr>
                <w:b/>
                <w:color w:val="000000"/>
              </w:rPr>
              <w:t>Total</w:t>
            </w:r>
          </w:p>
        </w:tc>
        <w:tc>
          <w:tcPr>
            <w:tcW w:w="2648" w:type="dxa"/>
            <w:vAlign w:val="bottom"/>
          </w:tcPr>
          <w:p w:rsidR="00482DA4" w:rsidRDefault="004056E4">
            <w:pPr>
              <w:spacing w:beforeAutospacing="1" w:afterAutospacing="1"/>
              <w:jc w:val="right"/>
            </w:pPr>
            <w:r>
              <w:rPr>
                <w:b/>
                <w:color w:val="000000"/>
              </w:rPr>
              <w:t>0</w:t>
            </w:r>
          </w:p>
        </w:tc>
        <w:tc>
          <w:tcPr>
            <w:tcW w:w="2649" w:type="dxa"/>
            <w:vAlign w:val="bottom"/>
          </w:tcPr>
          <w:p w:rsidR="00482DA4" w:rsidRDefault="004056E4">
            <w:pPr>
              <w:spacing w:beforeAutospacing="1" w:afterAutospacing="1"/>
              <w:jc w:val="right"/>
            </w:pPr>
            <w:r>
              <w:rPr>
                <w:b/>
                <w:color w:val="000000"/>
              </w:rPr>
              <w:t>0</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482DA4" w:rsidRDefault="00482DA4"/>
    <w:p w:rsidR="00482DA4" w:rsidRDefault="00482DA4"/>
    <w:p w:rsidR="00482DA4" w:rsidRDefault="00482DA4">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482DA4">
        <w:trPr>
          <w:cantSplit/>
          <w:tblHeader/>
        </w:trPr>
        <w:tc>
          <w:tcPr>
            <w:tcW w:w="4293" w:type="dxa"/>
          </w:tcPr>
          <w:p w:rsidR="00482DA4" w:rsidRDefault="00482DA4">
            <w:pPr>
              <w:pStyle w:val="Caption"/>
              <w:keepNext/>
              <w:widowControl w:val="0"/>
              <w:jc w:val="center"/>
              <w:rPr>
                <w:rFonts w:ascii="Calibri" w:hAnsi="Calibri"/>
                <w:sz w:val="22"/>
                <w:szCs w:val="22"/>
              </w:rPr>
            </w:pPr>
          </w:p>
        </w:tc>
        <w:tc>
          <w:tcPr>
            <w:tcW w:w="2648" w:type="dxa"/>
          </w:tcPr>
          <w:p w:rsidR="00482DA4" w:rsidRDefault="004056E4">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482DA4" w:rsidRDefault="004056E4">
            <w:pPr>
              <w:pStyle w:val="Caption"/>
              <w:keepNext/>
              <w:widowControl w:val="0"/>
              <w:jc w:val="center"/>
              <w:rPr>
                <w:rFonts w:ascii="Calibri" w:hAnsi="Calibri"/>
                <w:sz w:val="22"/>
                <w:szCs w:val="22"/>
              </w:rPr>
            </w:pPr>
            <w:r>
              <w:rPr>
                <w:rFonts w:ascii="Calibri" w:hAnsi="Calibri"/>
                <w:sz w:val="22"/>
                <w:szCs w:val="22"/>
              </w:rPr>
              <w:t>Actual</w:t>
            </w:r>
          </w:p>
        </w:tc>
      </w:tr>
      <w:tr w:rsidR="00482DA4">
        <w:trPr>
          <w:cantSplit/>
        </w:trPr>
        <w:tc>
          <w:tcPr>
            <w:tcW w:w="4293" w:type="dxa"/>
            <w:vAlign w:val="bottom"/>
          </w:tcPr>
          <w:p w:rsidR="00482DA4" w:rsidRDefault="004056E4">
            <w:pPr>
              <w:spacing w:beforeAutospacing="1" w:afterAutospacing="1"/>
            </w:pPr>
            <w:r>
              <w:rPr>
                <w:color w:val="000000"/>
              </w:rPr>
              <w:t>Number of households supported through Rental Assistance</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vAlign w:val="bottom"/>
          </w:tcPr>
          <w:p w:rsidR="00482DA4" w:rsidRDefault="004056E4">
            <w:pPr>
              <w:spacing w:beforeAutospacing="1" w:afterAutospacing="1"/>
            </w:pPr>
            <w:r>
              <w:rPr>
                <w:color w:val="000000"/>
              </w:rPr>
              <w:t>Number of households supported through The Production of New Units</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vAlign w:val="bottom"/>
          </w:tcPr>
          <w:p w:rsidR="00482DA4" w:rsidRDefault="004056E4">
            <w:pPr>
              <w:spacing w:beforeAutospacing="1" w:afterAutospacing="1"/>
            </w:pPr>
            <w:r>
              <w:rPr>
                <w:color w:val="000000"/>
              </w:rPr>
              <w:t>Number of households supported through Rehab of Existing Units</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vAlign w:val="bottom"/>
          </w:tcPr>
          <w:p w:rsidR="00482DA4" w:rsidRDefault="004056E4">
            <w:pPr>
              <w:spacing w:beforeAutospacing="1" w:afterAutospacing="1"/>
            </w:pPr>
            <w:r>
              <w:rPr>
                <w:color w:val="000000"/>
              </w:rPr>
              <w:t>Number of households supported through Acquisition of Existing Units</w:t>
            </w:r>
          </w:p>
        </w:tc>
        <w:tc>
          <w:tcPr>
            <w:tcW w:w="2648" w:type="dxa"/>
            <w:vAlign w:val="bottom"/>
          </w:tcPr>
          <w:p w:rsidR="00482DA4" w:rsidRDefault="004056E4">
            <w:pPr>
              <w:spacing w:beforeAutospacing="1" w:afterAutospacing="1"/>
              <w:jc w:val="right"/>
            </w:pPr>
            <w:r>
              <w:rPr>
                <w:color w:val="000000"/>
              </w:rPr>
              <w:t>0</w:t>
            </w:r>
          </w:p>
        </w:tc>
        <w:tc>
          <w:tcPr>
            <w:tcW w:w="2649" w:type="dxa"/>
            <w:vAlign w:val="bottom"/>
          </w:tcPr>
          <w:p w:rsidR="00482DA4" w:rsidRDefault="004056E4">
            <w:pPr>
              <w:spacing w:beforeAutospacing="1" w:afterAutospacing="1"/>
              <w:jc w:val="right"/>
            </w:pPr>
            <w:r>
              <w:rPr>
                <w:color w:val="000000"/>
              </w:rPr>
              <w:t>0</w:t>
            </w:r>
          </w:p>
        </w:tc>
      </w:tr>
      <w:tr w:rsidR="00482DA4">
        <w:trPr>
          <w:cantSplit/>
        </w:trPr>
        <w:tc>
          <w:tcPr>
            <w:tcW w:w="4293" w:type="dxa"/>
          </w:tcPr>
          <w:p w:rsidR="00482DA4" w:rsidRDefault="004056E4">
            <w:pPr>
              <w:spacing w:beforeAutospacing="1" w:afterAutospacing="1"/>
            </w:pPr>
            <w:r>
              <w:rPr>
                <w:b/>
                <w:color w:val="000000"/>
              </w:rPr>
              <w:t>Total</w:t>
            </w:r>
          </w:p>
        </w:tc>
        <w:tc>
          <w:tcPr>
            <w:tcW w:w="2648" w:type="dxa"/>
            <w:vAlign w:val="bottom"/>
          </w:tcPr>
          <w:p w:rsidR="00482DA4" w:rsidRDefault="004056E4">
            <w:pPr>
              <w:spacing w:beforeAutospacing="1" w:afterAutospacing="1"/>
              <w:jc w:val="right"/>
            </w:pPr>
            <w:r>
              <w:rPr>
                <w:b/>
                <w:color w:val="000000"/>
              </w:rPr>
              <w:t>0</w:t>
            </w:r>
          </w:p>
        </w:tc>
        <w:tc>
          <w:tcPr>
            <w:tcW w:w="2649" w:type="dxa"/>
            <w:vAlign w:val="bottom"/>
          </w:tcPr>
          <w:p w:rsidR="00482DA4" w:rsidRDefault="004056E4">
            <w:pPr>
              <w:spacing w:beforeAutospacing="1" w:afterAutospacing="1"/>
              <w:jc w:val="right"/>
            </w:pPr>
            <w:r>
              <w:rPr>
                <w:b/>
                <w:color w:val="000000"/>
              </w:rPr>
              <w:t>0</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482DA4" w:rsidRDefault="00482DA4">
      <w:pPr>
        <w:rPr>
          <w:rFonts w:cs="Arial"/>
        </w:rPr>
      </w:pPr>
    </w:p>
    <w:p w:rsidR="00482DA4" w:rsidRDefault="00482DA4">
      <w:pPr>
        <w:rPr>
          <w:rFonts w:cs="Arial"/>
        </w:rPr>
      </w:pPr>
    </w:p>
    <w:p w:rsidR="00482DA4" w:rsidRDefault="004056E4">
      <w:pPr>
        <w:widowControl w:val="0"/>
        <w:spacing w:line="204" w:lineRule="auto"/>
        <w:rPr>
          <w:b/>
          <w:sz w:val="24"/>
          <w:szCs w:val="24"/>
        </w:rPr>
      </w:pPr>
      <w:r>
        <w:rPr>
          <w:b/>
          <w:sz w:val="24"/>
          <w:szCs w:val="24"/>
        </w:rPr>
        <w:t>Discuss the difference between goals and outcomes and problems encountered in meeting these goals.</w:t>
      </w:r>
    </w:p>
    <w:p w:rsidR="00482DA4" w:rsidRDefault="004056E4">
      <w:pPr>
        <w:spacing w:beforeAutospacing="1" w:afterAutospacing="1"/>
        <w:rPr>
          <w:rFonts w:cs="Arial"/>
        </w:rPr>
      </w:pPr>
      <w:r>
        <w:rPr>
          <w:rFonts w:cs="Arial"/>
        </w:rPr>
        <w:t xml:space="preserve">our funding is not substantial enough to support any housing needs at </w:t>
      </w:r>
      <w:proofErr w:type="gramStart"/>
      <w:r>
        <w:rPr>
          <w:rFonts w:cs="Arial"/>
        </w:rPr>
        <w:t>these time</w:t>
      </w:r>
      <w:proofErr w:type="gramEnd"/>
      <w:r>
        <w:rPr>
          <w:rFonts w:cs="Arial"/>
        </w:rPr>
        <w:t>.</w:t>
      </w:r>
    </w:p>
    <w:p w:rsidR="00482DA4" w:rsidRDefault="004056E4">
      <w:pPr>
        <w:widowControl w:val="0"/>
        <w:spacing w:line="204" w:lineRule="auto"/>
        <w:rPr>
          <w:b/>
          <w:sz w:val="24"/>
          <w:szCs w:val="24"/>
        </w:rPr>
      </w:pPr>
      <w:r>
        <w:rPr>
          <w:b/>
          <w:sz w:val="24"/>
          <w:szCs w:val="24"/>
        </w:rPr>
        <w:t>Discuss how these outcomes will impact</w:t>
      </w:r>
      <w:r>
        <w:rPr>
          <w:b/>
          <w:sz w:val="24"/>
          <w:szCs w:val="24"/>
        </w:rPr>
        <w:t xml:space="preserve"> future annual action plans.</w:t>
      </w:r>
    </w:p>
    <w:p w:rsidR="00482DA4" w:rsidRDefault="004056E4">
      <w:pPr>
        <w:spacing w:beforeAutospacing="1" w:afterAutospacing="1"/>
        <w:rPr>
          <w:rFonts w:cs="Arial"/>
        </w:rPr>
      </w:pPr>
      <w:r>
        <w:rPr>
          <w:rFonts w:cs="Arial"/>
        </w:rPr>
        <w:t>We are finding that utilizing our funds to help a broader population will be better use of our funds.</w:t>
      </w:r>
    </w:p>
    <w:p w:rsidR="00482DA4" w:rsidRDefault="004056E4">
      <w:pPr>
        <w:keepNext/>
        <w:widowControl w:val="0"/>
        <w:spacing w:line="204" w:lineRule="auto"/>
        <w:rPr>
          <w:b/>
          <w:sz w:val="24"/>
          <w:szCs w:val="24"/>
        </w:rPr>
      </w:pPr>
      <w:r>
        <w:rPr>
          <w:b/>
          <w:sz w:val="24"/>
          <w:szCs w:val="24"/>
        </w:rPr>
        <w:t>Include the number of extremely low-income, low-income, and moderate-income persons served by each activity where information</w:t>
      </w:r>
      <w:r>
        <w:rPr>
          <w:b/>
          <w:sz w:val="24"/>
          <w:szCs w:val="24"/>
        </w:rPr>
        <w:t xml:space="preserve"> on income by family size is required to determine the eligibility of the activity.</w:t>
      </w:r>
    </w:p>
    <w:p w:rsidR="00482DA4" w:rsidRDefault="00482DA4">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482DA4">
        <w:trPr>
          <w:cantSplit/>
        </w:trPr>
        <w:tc>
          <w:tcPr>
            <w:tcW w:w="4081" w:type="dxa"/>
          </w:tcPr>
          <w:p w:rsidR="00482DA4" w:rsidRDefault="004056E4">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rsidR="00482DA4" w:rsidRDefault="004056E4">
            <w:pPr>
              <w:keepNext/>
              <w:widowControl w:val="0"/>
              <w:spacing w:after="0" w:line="240" w:lineRule="auto"/>
              <w:jc w:val="center"/>
              <w:rPr>
                <w:b/>
              </w:rPr>
            </w:pPr>
            <w:r>
              <w:rPr>
                <w:b/>
              </w:rPr>
              <w:t>CDBG Actual</w:t>
            </w:r>
          </w:p>
        </w:tc>
        <w:tc>
          <w:tcPr>
            <w:tcW w:w="1915" w:type="dxa"/>
            <w:gridSpan w:val="2"/>
          </w:tcPr>
          <w:p w:rsidR="00482DA4" w:rsidRDefault="004056E4">
            <w:pPr>
              <w:keepNext/>
              <w:widowControl w:val="0"/>
              <w:spacing w:after="0" w:line="240" w:lineRule="auto"/>
              <w:jc w:val="center"/>
              <w:rPr>
                <w:b/>
              </w:rPr>
            </w:pPr>
            <w:r>
              <w:rPr>
                <w:b/>
              </w:rPr>
              <w:t>HOME Actual</w:t>
            </w:r>
          </w:p>
        </w:tc>
      </w:tr>
      <w:tr w:rsidR="00482DA4">
        <w:trPr>
          <w:gridAfter w:val="1"/>
          <w:wAfter w:w="25" w:type="dxa"/>
          <w:cantSplit/>
        </w:trPr>
        <w:tc>
          <w:tcPr>
            <w:tcW w:w="4081" w:type="dxa"/>
            <w:vAlign w:val="bottom"/>
          </w:tcPr>
          <w:p w:rsidR="00482DA4" w:rsidRDefault="004056E4">
            <w:pPr>
              <w:spacing w:beforeAutospacing="1" w:afterAutospacing="1"/>
            </w:pPr>
            <w:r>
              <w:rPr>
                <w:color w:val="000000"/>
              </w:rPr>
              <w:t>Extremely Low-income</w:t>
            </w:r>
          </w:p>
        </w:tc>
        <w:tc>
          <w:tcPr>
            <w:tcW w:w="1859" w:type="dxa"/>
            <w:vAlign w:val="bottom"/>
          </w:tcPr>
          <w:p w:rsidR="00482DA4" w:rsidRDefault="004056E4">
            <w:pPr>
              <w:spacing w:beforeAutospacing="1" w:afterAutospacing="1"/>
              <w:jc w:val="right"/>
            </w:pPr>
            <w:r>
              <w:rPr>
                <w:color w:val="000000"/>
              </w:rPr>
              <w:t>0</w:t>
            </w:r>
          </w:p>
        </w:tc>
        <w:tc>
          <w:tcPr>
            <w:tcW w:w="1890" w:type="dxa"/>
            <w:vAlign w:val="bottom"/>
          </w:tcPr>
          <w:p w:rsidR="00482DA4" w:rsidRDefault="004056E4">
            <w:pPr>
              <w:spacing w:beforeAutospacing="1" w:afterAutospacing="1"/>
              <w:jc w:val="right"/>
            </w:pPr>
            <w:r>
              <w:rPr>
                <w:color w:val="000000"/>
              </w:rPr>
              <w:t>0</w:t>
            </w:r>
          </w:p>
        </w:tc>
      </w:tr>
      <w:tr w:rsidR="00482DA4">
        <w:trPr>
          <w:gridAfter w:val="1"/>
          <w:wAfter w:w="25" w:type="dxa"/>
          <w:cantSplit/>
        </w:trPr>
        <w:tc>
          <w:tcPr>
            <w:tcW w:w="4081" w:type="dxa"/>
            <w:vAlign w:val="bottom"/>
          </w:tcPr>
          <w:p w:rsidR="00482DA4" w:rsidRDefault="004056E4">
            <w:pPr>
              <w:spacing w:beforeAutospacing="1" w:afterAutospacing="1"/>
            </w:pPr>
            <w:r>
              <w:rPr>
                <w:color w:val="000000"/>
              </w:rPr>
              <w:t>Low-income</w:t>
            </w:r>
          </w:p>
        </w:tc>
        <w:tc>
          <w:tcPr>
            <w:tcW w:w="1859" w:type="dxa"/>
            <w:vAlign w:val="bottom"/>
          </w:tcPr>
          <w:p w:rsidR="00482DA4" w:rsidRDefault="004056E4">
            <w:pPr>
              <w:spacing w:beforeAutospacing="1" w:afterAutospacing="1"/>
              <w:jc w:val="right"/>
            </w:pPr>
            <w:r>
              <w:rPr>
                <w:color w:val="000000"/>
              </w:rPr>
              <w:t>0</w:t>
            </w:r>
          </w:p>
        </w:tc>
        <w:tc>
          <w:tcPr>
            <w:tcW w:w="1890" w:type="dxa"/>
            <w:vAlign w:val="bottom"/>
          </w:tcPr>
          <w:p w:rsidR="00482DA4" w:rsidRDefault="004056E4">
            <w:pPr>
              <w:spacing w:beforeAutospacing="1" w:afterAutospacing="1"/>
              <w:jc w:val="right"/>
            </w:pPr>
            <w:r>
              <w:rPr>
                <w:color w:val="000000"/>
              </w:rPr>
              <w:t>0</w:t>
            </w:r>
          </w:p>
        </w:tc>
      </w:tr>
      <w:tr w:rsidR="00482DA4">
        <w:trPr>
          <w:gridAfter w:val="1"/>
          <w:wAfter w:w="25" w:type="dxa"/>
          <w:cantSplit/>
        </w:trPr>
        <w:tc>
          <w:tcPr>
            <w:tcW w:w="4081" w:type="dxa"/>
            <w:vAlign w:val="bottom"/>
          </w:tcPr>
          <w:p w:rsidR="00482DA4" w:rsidRDefault="004056E4">
            <w:pPr>
              <w:spacing w:beforeAutospacing="1" w:afterAutospacing="1"/>
            </w:pPr>
            <w:r>
              <w:rPr>
                <w:color w:val="000000"/>
              </w:rPr>
              <w:t>Moderate-income</w:t>
            </w:r>
          </w:p>
        </w:tc>
        <w:tc>
          <w:tcPr>
            <w:tcW w:w="1859" w:type="dxa"/>
            <w:vAlign w:val="bottom"/>
          </w:tcPr>
          <w:p w:rsidR="00482DA4" w:rsidRDefault="004056E4">
            <w:pPr>
              <w:spacing w:beforeAutospacing="1" w:afterAutospacing="1"/>
              <w:jc w:val="right"/>
            </w:pPr>
            <w:r>
              <w:rPr>
                <w:color w:val="000000"/>
              </w:rPr>
              <w:t>0</w:t>
            </w:r>
          </w:p>
        </w:tc>
        <w:tc>
          <w:tcPr>
            <w:tcW w:w="1890" w:type="dxa"/>
            <w:vAlign w:val="bottom"/>
          </w:tcPr>
          <w:p w:rsidR="00482DA4" w:rsidRDefault="004056E4">
            <w:pPr>
              <w:spacing w:beforeAutospacing="1" w:afterAutospacing="1"/>
              <w:jc w:val="right"/>
            </w:pPr>
            <w:r>
              <w:rPr>
                <w:color w:val="000000"/>
              </w:rPr>
              <w:t>0</w:t>
            </w:r>
          </w:p>
        </w:tc>
      </w:tr>
      <w:tr w:rsidR="00482DA4">
        <w:trPr>
          <w:gridAfter w:val="1"/>
          <w:wAfter w:w="25" w:type="dxa"/>
          <w:cantSplit/>
        </w:trPr>
        <w:tc>
          <w:tcPr>
            <w:tcW w:w="4081" w:type="dxa"/>
            <w:vAlign w:val="bottom"/>
          </w:tcPr>
          <w:p w:rsidR="00482DA4" w:rsidRDefault="004056E4">
            <w:pPr>
              <w:spacing w:beforeAutospacing="1" w:afterAutospacing="1"/>
            </w:pPr>
            <w:r>
              <w:rPr>
                <w:b/>
                <w:color w:val="000000"/>
              </w:rPr>
              <w:t>Total</w:t>
            </w:r>
          </w:p>
        </w:tc>
        <w:tc>
          <w:tcPr>
            <w:tcW w:w="1859" w:type="dxa"/>
            <w:vAlign w:val="bottom"/>
          </w:tcPr>
          <w:p w:rsidR="00482DA4" w:rsidRDefault="004056E4">
            <w:pPr>
              <w:spacing w:beforeAutospacing="1" w:afterAutospacing="1"/>
              <w:jc w:val="right"/>
            </w:pPr>
            <w:r>
              <w:rPr>
                <w:b/>
                <w:color w:val="000000"/>
              </w:rPr>
              <w:t>0</w:t>
            </w:r>
          </w:p>
        </w:tc>
        <w:tc>
          <w:tcPr>
            <w:tcW w:w="1890" w:type="dxa"/>
            <w:vAlign w:val="bottom"/>
          </w:tcPr>
          <w:p w:rsidR="00482DA4" w:rsidRDefault="004056E4">
            <w:pPr>
              <w:spacing w:beforeAutospacing="1" w:afterAutospacing="1"/>
              <w:jc w:val="right"/>
            </w:pPr>
            <w:r>
              <w:rPr>
                <w:b/>
                <w:color w:val="000000"/>
              </w:rPr>
              <w:t>0</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482DA4" w:rsidRDefault="00482DA4">
      <w:pPr>
        <w:widowControl w:val="0"/>
        <w:spacing w:line="204" w:lineRule="auto"/>
        <w:rPr>
          <w:b/>
          <w:sz w:val="24"/>
          <w:szCs w:val="24"/>
        </w:rPr>
      </w:pPr>
    </w:p>
    <w:p w:rsidR="00482DA4" w:rsidRDefault="00482DA4">
      <w:pPr>
        <w:widowControl w:val="0"/>
        <w:spacing w:line="204" w:lineRule="auto"/>
        <w:rPr>
          <w:b/>
          <w:sz w:val="24"/>
          <w:szCs w:val="24"/>
        </w:rPr>
      </w:pPr>
    </w:p>
    <w:p w:rsidR="00482DA4" w:rsidRDefault="004056E4">
      <w:pPr>
        <w:widowControl w:val="0"/>
        <w:spacing w:line="204" w:lineRule="auto"/>
        <w:rPr>
          <w:b/>
          <w:sz w:val="24"/>
          <w:szCs w:val="24"/>
        </w:rPr>
      </w:pPr>
      <w:r>
        <w:rPr>
          <w:b/>
          <w:sz w:val="24"/>
          <w:szCs w:val="24"/>
        </w:rPr>
        <w:t>Narrative Information</w:t>
      </w:r>
    </w:p>
    <w:p w:rsidR="00482DA4" w:rsidRDefault="00482DA4">
      <w:pPr>
        <w:rPr>
          <w:rFonts w:cs="Arial"/>
        </w:rPr>
      </w:pPr>
    </w:p>
    <w:p w:rsidR="00482DA4" w:rsidRDefault="00482DA4">
      <w:pPr>
        <w:rPr>
          <w:rFonts w:cs="Arial"/>
        </w:rPr>
      </w:pPr>
    </w:p>
    <w:p w:rsidR="00482DA4" w:rsidRDefault="00482DA4">
      <w:pPr>
        <w:pStyle w:val="Heading2"/>
        <w:pageBreakBefore/>
        <w:rPr>
          <w:rFonts w:ascii="Calibri" w:hAnsi="Calibri"/>
          <w:i w:val="0"/>
        </w:rPr>
        <w:sectPr w:rsidR="00482DA4">
          <w:pgSz w:w="12240" w:h="15840" w:code="1"/>
          <w:pgMar w:top="1440" w:right="1440" w:bottom="1440" w:left="1440" w:header="720" w:footer="720" w:gutter="0"/>
          <w:cols w:space="720"/>
          <w:docGrid w:linePitch="360"/>
        </w:sectPr>
      </w:pPr>
    </w:p>
    <w:bookmarkEnd w:id="1"/>
    <w:p w:rsidR="00482DA4" w:rsidRDefault="004056E4">
      <w:pPr>
        <w:pStyle w:val="Heading2"/>
        <w:pageBreakBefore/>
        <w:widowControl w:val="0"/>
        <w:rPr>
          <w:rFonts w:ascii="Calibri" w:hAnsi="Calibri"/>
          <w:i w:val="0"/>
        </w:rPr>
      </w:pPr>
      <w:r>
        <w:rPr>
          <w:rFonts w:ascii="Calibri" w:hAnsi="Calibri"/>
          <w:i w:val="0"/>
        </w:rPr>
        <w:t>CR-25 - Homeless and Other Special Needs 91.220(d, e); 91.320(d, e); 91.520(c)</w:t>
      </w:r>
    </w:p>
    <w:p w:rsidR="00482DA4" w:rsidRDefault="004056E4">
      <w:pPr>
        <w:keepNext/>
        <w:widowControl w:val="0"/>
        <w:rPr>
          <w:b/>
          <w:sz w:val="24"/>
          <w:szCs w:val="24"/>
        </w:rPr>
      </w:pPr>
      <w:r>
        <w:rPr>
          <w:b/>
          <w:sz w:val="24"/>
          <w:szCs w:val="24"/>
        </w:rPr>
        <w:t xml:space="preserve">Evaluate the jurisdiction’s progress in meeting its specific objectives for reducing and ending homelessness </w:t>
      </w:r>
      <w:r>
        <w:rPr>
          <w:b/>
          <w:sz w:val="24"/>
          <w:szCs w:val="24"/>
        </w:rPr>
        <w:t>through:</w:t>
      </w:r>
    </w:p>
    <w:p w:rsidR="00482DA4" w:rsidRDefault="004056E4">
      <w:pPr>
        <w:widowControl w:val="0"/>
        <w:rPr>
          <w:b/>
          <w:sz w:val="24"/>
          <w:szCs w:val="24"/>
        </w:rPr>
      </w:pPr>
      <w:r>
        <w:rPr>
          <w:b/>
          <w:sz w:val="24"/>
          <w:szCs w:val="24"/>
        </w:rPr>
        <w:t>Reaching out to homeless persons (especially unsheltered persons) and assessing their individual needs</w:t>
      </w:r>
    </w:p>
    <w:p w:rsidR="00482DA4" w:rsidRDefault="00482DA4">
      <w:pPr>
        <w:widowControl w:val="0"/>
        <w:rPr>
          <w:rFonts w:cs="Arial"/>
        </w:rPr>
      </w:pPr>
    </w:p>
    <w:p w:rsidR="00482DA4" w:rsidRDefault="004056E4">
      <w:pPr>
        <w:widowControl w:val="0"/>
        <w:rPr>
          <w:b/>
          <w:sz w:val="24"/>
          <w:szCs w:val="24"/>
        </w:rPr>
      </w:pPr>
      <w:r>
        <w:rPr>
          <w:b/>
          <w:sz w:val="24"/>
          <w:szCs w:val="24"/>
        </w:rPr>
        <w:t>Addressing the emergency shelter and transitional housing needs of homeless persons</w:t>
      </w:r>
    </w:p>
    <w:p w:rsidR="00482DA4" w:rsidRDefault="004056E4">
      <w:pPr>
        <w:widowControl w:val="0"/>
        <w:spacing w:beforeAutospacing="1" w:afterAutospacing="1"/>
        <w:rPr>
          <w:rFonts w:cs="Arial"/>
        </w:rPr>
      </w:pPr>
      <w:r>
        <w:rPr>
          <w:rFonts w:cs="Arial"/>
        </w:rPr>
        <w:t>no activities were performed due to issues with data </w:t>
      </w:r>
    </w:p>
    <w:p w:rsidR="00482DA4" w:rsidRDefault="004056E4">
      <w:pPr>
        <w:widowControl w:val="0"/>
        <w:rPr>
          <w:b/>
          <w:sz w:val="24"/>
          <w:szCs w:val="24"/>
        </w:rPr>
      </w:pPr>
      <w:r>
        <w:rPr>
          <w:b/>
          <w:sz w:val="24"/>
          <w:szCs w:val="24"/>
        </w:rPr>
        <w:t>Helpi</w:t>
      </w:r>
      <w:r>
        <w:rPr>
          <w:b/>
          <w:sz w:val="24"/>
          <w:szCs w:val="24"/>
        </w:rPr>
        <w:t>ng low-income individuals and families avoid becoming homeless, especially extremely low-income individuals and families and those who are:  likely to become homeless after being discharged from publicly funded institutions and systems of care (such as hea</w:t>
      </w:r>
      <w:r>
        <w:rPr>
          <w:b/>
          <w:sz w:val="24"/>
          <w:szCs w:val="24"/>
        </w:rPr>
        <w:t>lth care facilities, mental health facilities, foster care and other youth facilities, and corrections programs and institutions);  and,  receiving assistance from public or private agencies that address housing, health, social services, employment, educat</w:t>
      </w:r>
      <w:r>
        <w:rPr>
          <w:b/>
          <w:sz w:val="24"/>
          <w:szCs w:val="24"/>
        </w:rPr>
        <w:t>ion, or youth needs</w:t>
      </w:r>
    </w:p>
    <w:p w:rsidR="00482DA4" w:rsidRDefault="004056E4">
      <w:pPr>
        <w:widowControl w:val="0"/>
        <w:spacing w:beforeAutospacing="1" w:afterAutospacing="1"/>
        <w:rPr>
          <w:rFonts w:cs="Arial"/>
        </w:rPr>
      </w:pPr>
      <w:r>
        <w:rPr>
          <w:rFonts w:cs="Arial"/>
        </w:rPr>
        <w:t>no activities due to issues with data</w:t>
      </w:r>
    </w:p>
    <w:p w:rsidR="00482DA4" w:rsidRDefault="004056E4">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w:t>
      </w:r>
      <w:r>
        <w:rPr>
          <w:b/>
          <w:sz w:val="24"/>
          <w:szCs w:val="24"/>
        </w:rPr>
        <w:t>sing and independent living, including shortening the period of time that individuals and families experience homelessness, facilitating access for homeless individuals and families to affordable housing units, and preventing individuals and families who w</w:t>
      </w:r>
      <w:r>
        <w:rPr>
          <w:b/>
          <w:sz w:val="24"/>
          <w:szCs w:val="24"/>
        </w:rPr>
        <w:t>ere recently homeless from becoming homeless again</w:t>
      </w:r>
    </w:p>
    <w:p w:rsidR="00482DA4" w:rsidRDefault="004056E4">
      <w:pPr>
        <w:widowControl w:val="0"/>
        <w:spacing w:beforeAutospacing="1" w:afterAutospacing="1"/>
        <w:rPr>
          <w:rFonts w:cs="Arial"/>
        </w:rPr>
      </w:pPr>
      <w:r>
        <w:rPr>
          <w:rFonts w:cs="Arial"/>
        </w:rPr>
        <w:t>no activities due to issues with data</w:t>
      </w:r>
    </w:p>
    <w:p w:rsidR="00482DA4" w:rsidRDefault="00482DA4">
      <w:pPr>
        <w:widowControl w:val="0"/>
        <w:rPr>
          <w:rFonts w:cs="Arial"/>
          <w:szCs w:val="26"/>
        </w:rPr>
      </w:pPr>
    </w:p>
    <w:p w:rsidR="00482DA4" w:rsidRDefault="004056E4">
      <w:pPr>
        <w:pStyle w:val="Heading2"/>
        <w:pageBreakBefore/>
        <w:widowControl w:val="0"/>
        <w:rPr>
          <w:rFonts w:ascii="Calibri" w:hAnsi="Calibri"/>
          <w:i w:val="0"/>
        </w:rPr>
      </w:pPr>
      <w:r>
        <w:rPr>
          <w:rFonts w:ascii="Calibri" w:hAnsi="Calibri"/>
          <w:i w:val="0"/>
        </w:rPr>
        <w:t>CR-30 - Public Housing 91.220(h); 91.320(j)</w:t>
      </w:r>
    </w:p>
    <w:p w:rsidR="00482DA4" w:rsidRDefault="004056E4">
      <w:pPr>
        <w:keepNext/>
        <w:widowControl w:val="0"/>
        <w:rPr>
          <w:b/>
          <w:sz w:val="24"/>
          <w:szCs w:val="24"/>
        </w:rPr>
      </w:pPr>
      <w:r>
        <w:rPr>
          <w:b/>
          <w:sz w:val="24"/>
          <w:szCs w:val="24"/>
        </w:rPr>
        <w:t>Actions taken to address the needs of public housing</w:t>
      </w:r>
    </w:p>
    <w:p w:rsidR="00482DA4" w:rsidRDefault="004056E4">
      <w:pPr>
        <w:keepNext/>
        <w:widowControl w:val="0"/>
        <w:spacing w:beforeAutospacing="1" w:afterAutospacing="1"/>
        <w:rPr>
          <w:rFonts w:cs="Arial"/>
        </w:rPr>
      </w:pPr>
      <w:r>
        <w:rPr>
          <w:rFonts w:cs="Arial"/>
        </w:rPr>
        <w:t>There was no action taken as it was not in our plans due to the amoun</w:t>
      </w:r>
      <w:r>
        <w:rPr>
          <w:rFonts w:cs="Arial"/>
        </w:rPr>
        <w:t>t of funding available</w:t>
      </w:r>
    </w:p>
    <w:p w:rsidR="00482DA4" w:rsidRDefault="004056E4">
      <w:pPr>
        <w:widowControl w:val="0"/>
        <w:rPr>
          <w:b/>
          <w:sz w:val="24"/>
          <w:szCs w:val="24"/>
        </w:rPr>
      </w:pPr>
      <w:r>
        <w:rPr>
          <w:b/>
          <w:sz w:val="24"/>
          <w:szCs w:val="24"/>
        </w:rPr>
        <w:t>Actions taken to encourage public housing residents to become more involved in management and participate in homeownership</w:t>
      </w:r>
    </w:p>
    <w:p w:rsidR="00482DA4" w:rsidRDefault="004056E4">
      <w:pPr>
        <w:widowControl w:val="0"/>
        <w:spacing w:beforeAutospacing="1" w:afterAutospacing="1"/>
        <w:rPr>
          <w:rFonts w:cs="Arial"/>
        </w:rPr>
      </w:pPr>
      <w:r>
        <w:rPr>
          <w:rFonts w:cs="Arial"/>
        </w:rPr>
        <w:t>no action taken due to the amount of funding available makes it not a feasible activity long term</w:t>
      </w:r>
    </w:p>
    <w:p w:rsidR="00482DA4" w:rsidRDefault="004056E4">
      <w:pPr>
        <w:widowControl w:val="0"/>
        <w:rPr>
          <w:b/>
          <w:sz w:val="24"/>
          <w:szCs w:val="24"/>
        </w:rPr>
      </w:pPr>
      <w:r>
        <w:rPr>
          <w:b/>
          <w:sz w:val="24"/>
          <w:szCs w:val="24"/>
        </w:rPr>
        <w:t>Actions take</w:t>
      </w:r>
      <w:r>
        <w:rPr>
          <w:b/>
          <w:sz w:val="24"/>
          <w:szCs w:val="24"/>
        </w:rPr>
        <w:t xml:space="preserve">n to </w:t>
      </w:r>
      <w:proofErr w:type="gramStart"/>
      <w:r>
        <w:rPr>
          <w:b/>
          <w:sz w:val="24"/>
          <w:szCs w:val="24"/>
        </w:rPr>
        <w:t>provide assistance to</w:t>
      </w:r>
      <w:proofErr w:type="gramEnd"/>
      <w:r>
        <w:rPr>
          <w:b/>
          <w:sz w:val="24"/>
          <w:szCs w:val="24"/>
        </w:rPr>
        <w:t xml:space="preserve"> troubled PHAs</w:t>
      </w:r>
    </w:p>
    <w:p w:rsidR="00482DA4" w:rsidRDefault="004056E4">
      <w:pPr>
        <w:widowControl w:val="0"/>
        <w:spacing w:beforeAutospacing="1" w:afterAutospacing="1"/>
        <w:rPr>
          <w:rFonts w:cs="Arial"/>
        </w:rPr>
      </w:pPr>
      <w:r>
        <w:rPr>
          <w:rFonts w:cs="Arial"/>
        </w:rPr>
        <w:t>Our PHA is not troubled</w:t>
      </w:r>
    </w:p>
    <w:p w:rsidR="00482DA4" w:rsidRDefault="004056E4">
      <w:pPr>
        <w:pStyle w:val="Heading2"/>
        <w:pageBreakBefore/>
        <w:widowControl w:val="0"/>
        <w:rPr>
          <w:rFonts w:ascii="Calibri" w:hAnsi="Calibri"/>
          <w:i w:val="0"/>
        </w:rPr>
      </w:pPr>
      <w:r>
        <w:rPr>
          <w:rFonts w:ascii="Calibri" w:hAnsi="Calibri"/>
          <w:i w:val="0"/>
        </w:rPr>
        <w:t>CR-35 - Other Actions 91.220(j)-(k); 91.320(</w:t>
      </w:r>
      <w:proofErr w:type="spellStart"/>
      <w:r>
        <w:rPr>
          <w:rFonts w:ascii="Calibri" w:hAnsi="Calibri"/>
          <w:i w:val="0"/>
        </w:rPr>
        <w:t>i</w:t>
      </w:r>
      <w:proofErr w:type="spellEnd"/>
      <w:r>
        <w:rPr>
          <w:rFonts w:ascii="Calibri" w:hAnsi="Calibri"/>
          <w:i w:val="0"/>
        </w:rPr>
        <w:t>)-(j)</w:t>
      </w:r>
    </w:p>
    <w:p w:rsidR="00482DA4" w:rsidRDefault="004056E4">
      <w:pPr>
        <w:widowControl w:val="0"/>
        <w:rPr>
          <w:b/>
          <w:sz w:val="24"/>
          <w:szCs w:val="24"/>
        </w:rPr>
      </w:pPr>
      <w:r>
        <w:rPr>
          <w:b/>
          <w:sz w:val="24"/>
          <w:szCs w:val="24"/>
        </w:rPr>
        <w:t xml:space="preserve">Actions taken to remove or ameliorate the negative effects of public policies that serve as barriers to affordable housing such as land use </w:t>
      </w:r>
      <w:r>
        <w:rPr>
          <w:b/>
          <w:sz w:val="24"/>
          <w:szCs w:val="24"/>
        </w:rPr>
        <w:t>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rsidR="00482DA4" w:rsidRDefault="004056E4">
      <w:pPr>
        <w:widowControl w:val="0"/>
        <w:spacing w:beforeAutospacing="1" w:afterAutospacing="1"/>
        <w:rPr>
          <w:rFonts w:cs="Arial"/>
        </w:rPr>
      </w:pPr>
      <w:r>
        <w:rPr>
          <w:rFonts w:cs="Arial"/>
        </w:rPr>
        <w:t>Planning and zoning is continually evaluating the needs of t</w:t>
      </w:r>
      <w:r>
        <w:rPr>
          <w:rFonts w:cs="Arial"/>
        </w:rPr>
        <w:t>he community and developments that could be barriers to affordable housing.  We feel current policies are favorable for growth and we have several new subdivisions that are considered entry level housing. One in particular was given a tax abatement for inf</w:t>
      </w:r>
      <w:r>
        <w:rPr>
          <w:rFonts w:cs="Arial"/>
        </w:rPr>
        <w:t xml:space="preserve">rastructure in order to help keep the cost of the homes at a level that </w:t>
      </w:r>
      <w:proofErr w:type="gramStart"/>
      <w:r>
        <w:rPr>
          <w:rFonts w:cs="Arial"/>
        </w:rPr>
        <w:t>first time</w:t>
      </w:r>
      <w:proofErr w:type="gramEnd"/>
      <w:r>
        <w:rPr>
          <w:rFonts w:cs="Arial"/>
        </w:rPr>
        <w:t xml:space="preserve"> homebuyers could afford.</w:t>
      </w:r>
    </w:p>
    <w:p w:rsidR="00482DA4" w:rsidRDefault="004056E4">
      <w:pPr>
        <w:widowControl w:val="0"/>
        <w:rPr>
          <w:b/>
          <w:sz w:val="24"/>
          <w:szCs w:val="24"/>
        </w:rPr>
      </w:pPr>
      <w:r>
        <w:rPr>
          <w:b/>
          <w:sz w:val="24"/>
          <w:szCs w:val="24"/>
        </w:rPr>
        <w:t>Actions taken to address obstacles to meeting underserved needs.  91.220(k); 91.320(j)</w:t>
      </w:r>
    </w:p>
    <w:p w:rsidR="00482DA4" w:rsidRDefault="00482DA4">
      <w:pPr>
        <w:widowControl w:val="0"/>
        <w:rPr>
          <w:rFonts w:cs="Arial"/>
        </w:rPr>
      </w:pPr>
    </w:p>
    <w:p w:rsidR="00482DA4" w:rsidRDefault="004056E4">
      <w:pPr>
        <w:widowControl w:val="0"/>
        <w:rPr>
          <w:b/>
          <w:sz w:val="24"/>
          <w:szCs w:val="24"/>
        </w:rPr>
      </w:pPr>
      <w:r>
        <w:rPr>
          <w:b/>
          <w:sz w:val="24"/>
          <w:szCs w:val="24"/>
        </w:rPr>
        <w:t>Actions taken to reduce lead-based paint hazards. 91.220(k);</w:t>
      </w:r>
      <w:r>
        <w:rPr>
          <w:b/>
          <w:sz w:val="24"/>
          <w:szCs w:val="24"/>
        </w:rPr>
        <w:t xml:space="preserve"> 91.320(j)</w:t>
      </w:r>
    </w:p>
    <w:p w:rsidR="00482DA4" w:rsidRDefault="004056E4">
      <w:pPr>
        <w:widowControl w:val="0"/>
        <w:spacing w:beforeAutospacing="1" w:afterAutospacing="1"/>
        <w:rPr>
          <w:rFonts w:cs="Arial"/>
        </w:rPr>
      </w:pPr>
      <w:r>
        <w:rPr>
          <w:rFonts w:cs="Arial"/>
        </w:rPr>
        <w:t>This is something our local health department is overseeing and will continue to do so.</w:t>
      </w:r>
    </w:p>
    <w:p w:rsidR="00482DA4" w:rsidRDefault="004056E4">
      <w:pPr>
        <w:widowControl w:val="0"/>
        <w:rPr>
          <w:b/>
          <w:sz w:val="24"/>
          <w:szCs w:val="24"/>
        </w:rPr>
      </w:pPr>
      <w:r>
        <w:rPr>
          <w:b/>
          <w:sz w:val="24"/>
          <w:szCs w:val="24"/>
        </w:rPr>
        <w:t>Actions taken to reduce the number of poverty-level families. 91.220(k); 91.320(j)</w:t>
      </w:r>
    </w:p>
    <w:p w:rsidR="00482DA4" w:rsidRDefault="00482DA4">
      <w:pPr>
        <w:widowControl w:val="0"/>
        <w:rPr>
          <w:rFonts w:cs="Arial"/>
        </w:rPr>
      </w:pPr>
    </w:p>
    <w:p w:rsidR="00482DA4" w:rsidRDefault="004056E4">
      <w:pPr>
        <w:widowControl w:val="0"/>
        <w:rPr>
          <w:b/>
          <w:sz w:val="24"/>
          <w:szCs w:val="24"/>
        </w:rPr>
      </w:pPr>
      <w:r>
        <w:rPr>
          <w:b/>
          <w:sz w:val="24"/>
          <w:szCs w:val="24"/>
        </w:rPr>
        <w:t>Actions taken to develop institutional structure. 91.220(k); 91.320(j)</w:t>
      </w:r>
    </w:p>
    <w:p w:rsidR="00482DA4" w:rsidRDefault="00482DA4">
      <w:pPr>
        <w:widowControl w:val="0"/>
        <w:rPr>
          <w:rFonts w:cs="Arial"/>
        </w:rPr>
      </w:pPr>
    </w:p>
    <w:p w:rsidR="00482DA4" w:rsidRDefault="004056E4">
      <w:pPr>
        <w:widowControl w:val="0"/>
        <w:rPr>
          <w:b/>
          <w:sz w:val="24"/>
          <w:szCs w:val="24"/>
        </w:rPr>
      </w:pPr>
      <w:r>
        <w:rPr>
          <w:b/>
          <w:sz w:val="24"/>
          <w:szCs w:val="24"/>
        </w:rPr>
        <w:t>Actions taken to enhance coordination between public and private housing and social service agencies. 91.220(k); 91.320(j)</w:t>
      </w:r>
    </w:p>
    <w:p w:rsidR="00482DA4" w:rsidRDefault="00482DA4">
      <w:pPr>
        <w:widowControl w:val="0"/>
        <w:rPr>
          <w:rFonts w:cs="Arial"/>
        </w:rPr>
      </w:pPr>
    </w:p>
    <w:p w:rsidR="00482DA4" w:rsidRDefault="004056E4">
      <w:pPr>
        <w:widowControl w:val="0"/>
        <w:rPr>
          <w:b/>
          <w:sz w:val="24"/>
          <w:szCs w:val="24"/>
        </w:rPr>
      </w:pPr>
      <w:r>
        <w:rPr>
          <w:b/>
          <w:sz w:val="24"/>
          <w:szCs w:val="24"/>
        </w:rPr>
        <w:t xml:space="preserve">Identify actions taken to overcome the effects of any impediments identified in the </w:t>
      </w:r>
      <w:proofErr w:type="gramStart"/>
      <w:r>
        <w:rPr>
          <w:b/>
          <w:sz w:val="24"/>
          <w:szCs w:val="24"/>
        </w:rPr>
        <w:t>jurisdictions</w:t>
      </w:r>
      <w:proofErr w:type="gramEnd"/>
      <w:r>
        <w:rPr>
          <w:b/>
          <w:sz w:val="24"/>
          <w:szCs w:val="24"/>
        </w:rPr>
        <w:t xml:space="preserve"> analysis of impediments to fair ho</w:t>
      </w:r>
      <w:r>
        <w:rPr>
          <w:b/>
          <w:sz w:val="24"/>
          <w:szCs w:val="24"/>
        </w:rPr>
        <w:t>using choice.  91.520(a)</w:t>
      </w:r>
    </w:p>
    <w:p w:rsidR="00482DA4" w:rsidRDefault="00482DA4">
      <w:pPr>
        <w:widowControl w:val="0"/>
        <w:rPr>
          <w:rFonts w:cs="Arial"/>
        </w:rPr>
      </w:pPr>
    </w:p>
    <w:p w:rsidR="00482DA4" w:rsidRDefault="004056E4">
      <w:pPr>
        <w:pStyle w:val="Heading2"/>
        <w:pageBreakBefore/>
        <w:widowControl w:val="0"/>
        <w:rPr>
          <w:rFonts w:ascii="Calibri" w:hAnsi="Calibri"/>
          <w:i w:val="0"/>
        </w:rPr>
      </w:pPr>
      <w:r>
        <w:rPr>
          <w:rFonts w:ascii="Calibri" w:hAnsi="Calibri"/>
          <w:i w:val="0"/>
        </w:rPr>
        <w:t>CR-40 - Monitoring 91.220 and 91.230</w:t>
      </w:r>
    </w:p>
    <w:p w:rsidR="00482DA4" w:rsidRDefault="004056E4">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w:t>
      </w:r>
      <w:r>
        <w:rPr>
          <w:b/>
          <w:sz w:val="24"/>
          <w:szCs w:val="24"/>
        </w:rPr>
        <w:t>ding minority business outreach and the comprehensive planning requirements</w:t>
      </w:r>
    </w:p>
    <w:p w:rsidR="00482DA4" w:rsidRDefault="004056E4">
      <w:pPr>
        <w:widowControl w:val="0"/>
        <w:spacing w:beforeAutospacing="1" w:afterAutospacing="1"/>
        <w:rPr>
          <w:rFonts w:cs="Arial"/>
        </w:rPr>
      </w:pPr>
      <w:r>
        <w:rPr>
          <w:rFonts w:cs="Arial"/>
        </w:rPr>
        <w:t>The city is following all rules and standards required in all of our upcoming projects, including monitoring these projects making sure they are meeting all labor standards etc. </w:t>
      </w:r>
    </w:p>
    <w:p w:rsidR="00482DA4" w:rsidRDefault="00482DA4">
      <w:pPr>
        <w:widowControl w:val="0"/>
        <w:rPr>
          <w:rFonts w:cs="Arial"/>
        </w:rPr>
      </w:pPr>
    </w:p>
    <w:p w:rsidR="00482DA4" w:rsidRDefault="00482DA4">
      <w:pPr>
        <w:widowControl w:val="0"/>
        <w:rPr>
          <w:rFonts w:cs="Arial"/>
        </w:rPr>
      </w:pPr>
    </w:p>
    <w:p w:rsidR="00482DA4" w:rsidRDefault="00482DA4">
      <w:pPr>
        <w:widowControl w:val="0"/>
        <w:rPr>
          <w:rFonts w:cs="Arial"/>
        </w:rPr>
      </w:pPr>
    </w:p>
    <w:p w:rsidR="00482DA4" w:rsidRDefault="004056E4">
      <w:pPr>
        <w:widowControl w:val="0"/>
        <w:rPr>
          <w:b/>
          <w:sz w:val="24"/>
          <w:szCs w:val="24"/>
        </w:rPr>
      </w:pPr>
      <w:r>
        <w:rPr>
          <w:b/>
          <w:sz w:val="24"/>
          <w:szCs w:val="24"/>
        </w:rPr>
        <w:t>Citizen Participation Plan 91.105(d); 91.115(d)</w:t>
      </w:r>
    </w:p>
    <w:p w:rsidR="00482DA4" w:rsidRDefault="004056E4">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482DA4" w:rsidRDefault="004056E4">
      <w:pPr>
        <w:spacing w:beforeAutospacing="1" w:afterAutospacing="1"/>
      </w:pPr>
      <w:r>
        <w:t>We have followed all guidelines on posting our plans etc. on our website and holding pub</w:t>
      </w:r>
      <w:r>
        <w:t xml:space="preserve">lic hearings and having an </w:t>
      </w:r>
      <w:proofErr w:type="gramStart"/>
      <w:r>
        <w:t>open door</w:t>
      </w:r>
      <w:proofErr w:type="gramEnd"/>
      <w:r>
        <w:t xml:space="preserve"> policy for holding any meetings requested by others. They can send comments via email, call, mail to our office. </w:t>
      </w:r>
    </w:p>
    <w:p w:rsidR="00482DA4" w:rsidRDefault="004056E4">
      <w:pPr>
        <w:rPr>
          <w:b/>
          <w:i/>
          <w:sz w:val="28"/>
          <w:szCs w:val="28"/>
        </w:rPr>
      </w:pPr>
      <w:r>
        <w:rPr>
          <w:b/>
          <w:sz w:val="28"/>
          <w:szCs w:val="28"/>
        </w:rPr>
        <w:t>CR-45 - CDBG 91.520(c)</w:t>
      </w:r>
    </w:p>
    <w:p w:rsidR="00482DA4" w:rsidRDefault="004056E4">
      <w:pPr>
        <w:widowControl w:val="0"/>
        <w:rPr>
          <w:b/>
          <w:sz w:val="24"/>
          <w:szCs w:val="24"/>
        </w:rPr>
      </w:pPr>
      <w:r>
        <w:rPr>
          <w:b/>
          <w:sz w:val="24"/>
          <w:szCs w:val="24"/>
        </w:rPr>
        <w:t xml:space="preserve">Specify the nature of, and reasons for, any changes in the jurisdiction’s program </w:t>
      </w:r>
      <w:r>
        <w:rPr>
          <w:b/>
          <w:sz w:val="24"/>
          <w:szCs w:val="24"/>
        </w:rPr>
        <w:t>objectives and indications of how the jurisdiction would change its programs as a result of its experiences.</w:t>
      </w:r>
    </w:p>
    <w:p w:rsidR="00482DA4" w:rsidRDefault="004056E4">
      <w:pPr>
        <w:widowControl w:val="0"/>
        <w:spacing w:beforeAutospacing="1" w:afterAutospacing="1"/>
        <w:rPr>
          <w:rFonts w:cs="Arial"/>
        </w:rPr>
      </w:pPr>
      <w:r>
        <w:rPr>
          <w:rFonts w:cs="Arial"/>
        </w:rPr>
        <w:t>no changes at this time</w:t>
      </w:r>
    </w:p>
    <w:p w:rsidR="00482DA4" w:rsidRDefault="004056E4">
      <w:pPr>
        <w:widowControl w:val="0"/>
        <w:rPr>
          <w:b/>
          <w:sz w:val="24"/>
          <w:szCs w:val="24"/>
        </w:rPr>
      </w:pPr>
      <w:r>
        <w:rPr>
          <w:b/>
          <w:sz w:val="24"/>
          <w:szCs w:val="24"/>
        </w:rPr>
        <w:t>Does this Jurisdiction have any open Brownfields Economic Development Initiative (BEDI) grants?</w:t>
      </w:r>
    </w:p>
    <w:p w:rsidR="00482DA4" w:rsidRDefault="004056E4">
      <w:pPr>
        <w:widowControl w:val="0"/>
        <w:spacing w:beforeAutospacing="1" w:afterAutospacing="1"/>
        <w:rPr>
          <w:rFonts w:cs="Arial"/>
        </w:rPr>
      </w:pPr>
      <w:r>
        <w:rPr>
          <w:rFonts w:cs="Arial"/>
        </w:rPr>
        <w:t>No</w:t>
      </w:r>
    </w:p>
    <w:p w:rsidR="00482DA4" w:rsidRDefault="004056E4">
      <w:pPr>
        <w:widowControl w:val="0"/>
        <w:rPr>
          <w:b/>
          <w:sz w:val="24"/>
          <w:szCs w:val="24"/>
        </w:rPr>
      </w:pPr>
      <w:r>
        <w:rPr>
          <w:b/>
          <w:sz w:val="24"/>
          <w:szCs w:val="24"/>
        </w:rPr>
        <w:t xml:space="preserve"> [BEDI </w:t>
      </w:r>
      <w:proofErr w:type="gramStart"/>
      <w:r>
        <w:rPr>
          <w:b/>
          <w:sz w:val="24"/>
          <w:szCs w:val="24"/>
        </w:rPr>
        <w:t>grantees]  Descri</w:t>
      </w:r>
      <w:r>
        <w:rPr>
          <w:b/>
          <w:sz w:val="24"/>
          <w:szCs w:val="24"/>
        </w:rPr>
        <w:t>be</w:t>
      </w:r>
      <w:proofErr w:type="gramEnd"/>
      <w:r>
        <w:rPr>
          <w:b/>
          <w:sz w:val="24"/>
          <w:szCs w:val="24"/>
        </w:rPr>
        <w:t xml:space="preserve"> accomplishments and program outcomes during the last year.</w:t>
      </w:r>
    </w:p>
    <w:p w:rsidR="00482DA4" w:rsidRDefault="00482DA4">
      <w:pPr>
        <w:widowControl w:val="0"/>
        <w:rPr>
          <w:rFonts w:cs="Arial"/>
        </w:rPr>
      </w:pPr>
    </w:p>
    <w:p w:rsidR="00482DA4" w:rsidRDefault="00482DA4"/>
    <w:p w:rsidR="00482DA4" w:rsidRDefault="004056E4">
      <w:pPr>
        <w:keepNext/>
        <w:pageBreakBefore/>
        <w:widowControl w:val="0"/>
        <w:spacing w:before="240" w:after="60"/>
        <w:outlineLvl w:val="1"/>
        <w:rPr>
          <w:rFonts w:cs="Arial"/>
          <w:b/>
          <w:bCs/>
          <w:iCs/>
          <w:sz w:val="28"/>
          <w:szCs w:val="28"/>
        </w:rPr>
      </w:pPr>
      <w:r>
        <w:rPr>
          <w:rFonts w:cs="Arial"/>
          <w:b/>
          <w:bCs/>
          <w:iCs/>
          <w:sz w:val="28"/>
          <w:szCs w:val="28"/>
        </w:rPr>
        <w:t>CR-45 - CDBG 91.520(c)</w:t>
      </w:r>
    </w:p>
    <w:p w:rsidR="00482DA4" w:rsidRDefault="004056E4">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as a </w:t>
      </w:r>
      <w:r>
        <w:rPr>
          <w:b/>
          <w:sz w:val="24"/>
          <w:szCs w:val="24"/>
        </w:rPr>
        <w:t>result of its experiences.</w:t>
      </w:r>
    </w:p>
    <w:p w:rsidR="00482DA4" w:rsidRDefault="004056E4">
      <w:pPr>
        <w:widowControl w:val="0"/>
        <w:spacing w:beforeAutospacing="1" w:afterAutospacing="1"/>
        <w:rPr>
          <w:rFonts w:cs="Arial"/>
        </w:rPr>
      </w:pPr>
      <w:r>
        <w:rPr>
          <w:rFonts w:cs="Arial"/>
        </w:rPr>
        <w:t>no changes at this time</w:t>
      </w:r>
    </w:p>
    <w:p w:rsidR="00482DA4" w:rsidRDefault="004056E4">
      <w:pPr>
        <w:widowControl w:val="0"/>
        <w:rPr>
          <w:b/>
          <w:sz w:val="24"/>
          <w:szCs w:val="24"/>
        </w:rPr>
      </w:pPr>
      <w:r>
        <w:rPr>
          <w:b/>
          <w:sz w:val="24"/>
          <w:szCs w:val="24"/>
        </w:rPr>
        <w:t>Does this Jurisdiction have any open Brownfields Economic Development Initiative (BEDI) grants?</w:t>
      </w:r>
    </w:p>
    <w:p w:rsidR="00482DA4" w:rsidRDefault="004056E4">
      <w:pPr>
        <w:widowControl w:val="0"/>
        <w:spacing w:beforeAutospacing="1" w:afterAutospacing="1"/>
        <w:rPr>
          <w:rFonts w:cs="Arial"/>
        </w:rPr>
      </w:pPr>
      <w:r>
        <w:rPr>
          <w:rFonts w:cs="Arial"/>
        </w:rPr>
        <w:t>No</w:t>
      </w:r>
    </w:p>
    <w:p w:rsidR="00482DA4" w:rsidRDefault="004056E4">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rsidR="00482DA4" w:rsidRDefault="00482DA4">
      <w:pPr>
        <w:widowControl w:val="0"/>
        <w:rPr>
          <w:rFonts w:cs="Arial"/>
        </w:rPr>
      </w:pPr>
    </w:p>
    <w:p w:rsidR="00482DA4" w:rsidRDefault="00482DA4"/>
    <w:p w:rsidR="00482DA4" w:rsidRDefault="00482DA4"/>
    <w:p w:rsidR="00482DA4" w:rsidRDefault="004056E4">
      <w:pPr>
        <w:pStyle w:val="Heading2"/>
        <w:keepNext w:val="0"/>
        <w:pageBreakBefore/>
        <w:widowControl w:val="0"/>
        <w:rPr>
          <w:rFonts w:ascii="Calibri" w:hAnsi="Calibri"/>
          <w:i w:val="0"/>
        </w:rPr>
      </w:pPr>
      <w:r>
        <w:rPr>
          <w:rFonts w:ascii="Calibri" w:hAnsi="Calibri"/>
          <w:i w:val="0"/>
        </w:rPr>
        <w:t>CR-58 – Section 3</w:t>
      </w:r>
    </w:p>
    <w:p w:rsidR="00482DA4" w:rsidRDefault="004056E4">
      <w:pPr>
        <w:widowControl w:val="0"/>
        <w:rPr>
          <w:b/>
          <w:sz w:val="24"/>
          <w:szCs w:val="24"/>
        </w:rPr>
      </w:pPr>
      <w:r>
        <w:rPr>
          <w:b/>
          <w:sz w:val="24"/>
          <w:szCs w:val="24"/>
        </w:rPr>
        <w:t xml:space="preserve">Identify the number of individuals assisted and the types of assistance provided </w:t>
      </w:r>
    </w:p>
    <w:p w:rsidR="00482DA4" w:rsidRDefault="00482DA4">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482DA4">
        <w:trPr>
          <w:cantSplit/>
        </w:trPr>
        <w:tc>
          <w:tcPr>
            <w:tcW w:w="5490" w:type="dxa"/>
          </w:tcPr>
          <w:p w:rsidR="00482DA4" w:rsidRDefault="004056E4">
            <w:pPr>
              <w:keepNext/>
              <w:widowControl w:val="0"/>
              <w:tabs>
                <w:tab w:val="left" w:pos="2070"/>
              </w:tabs>
              <w:spacing w:after="0" w:line="240" w:lineRule="auto"/>
              <w:ind w:right="162"/>
              <w:jc w:val="center"/>
              <w:rPr>
                <w:b/>
              </w:rPr>
            </w:pPr>
            <w:r>
              <w:rPr>
                <w:b/>
              </w:rPr>
              <w:t>Total Labor Hours</w:t>
            </w:r>
          </w:p>
        </w:tc>
        <w:tc>
          <w:tcPr>
            <w:tcW w:w="810" w:type="dxa"/>
          </w:tcPr>
          <w:p w:rsidR="00482DA4" w:rsidRDefault="004056E4">
            <w:pPr>
              <w:keepNext/>
              <w:widowControl w:val="0"/>
              <w:spacing w:after="0" w:line="240" w:lineRule="auto"/>
              <w:jc w:val="center"/>
              <w:rPr>
                <w:b/>
              </w:rPr>
            </w:pPr>
            <w:r>
              <w:rPr>
                <w:b/>
              </w:rPr>
              <w:t>CDBG</w:t>
            </w:r>
          </w:p>
        </w:tc>
        <w:tc>
          <w:tcPr>
            <w:tcW w:w="900" w:type="dxa"/>
          </w:tcPr>
          <w:p w:rsidR="00482DA4" w:rsidRDefault="004056E4">
            <w:pPr>
              <w:keepNext/>
              <w:widowControl w:val="0"/>
              <w:spacing w:after="0" w:line="240" w:lineRule="auto"/>
              <w:jc w:val="center"/>
              <w:rPr>
                <w:b/>
              </w:rPr>
            </w:pPr>
            <w:r>
              <w:rPr>
                <w:b/>
              </w:rPr>
              <w:t>HOME</w:t>
            </w:r>
          </w:p>
        </w:tc>
        <w:tc>
          <w:tcPr>
            <w:tcW w:w="720" w:type="dxa"/>
          </w:tcPr>
          <w:p w:rsidR="00482DA4" w:rsidRDefault="004056E4">
            <w:pPr>
              <w:keepNext/>
              <w:widowControl w:val="0"/>
              <w:spacing w:after="0" w:line="240" w:lineRule="auto"/>
              <w:rPr>
                <w:b/>
              </w:rPr>
            </w:pPr>
            <w:r>
              <w:rPr>
                <w:b/>
              </w:rPr>
              <w:t>ESG</w:t>
            </w:r>
          </w:p>
        </w:tc>
        <w:tc>
          <w:tcPr>
            <w:tcW w:w="990" w:type="dxa"/>
          </w:tcPr>
          <w:p w:rsidR="00482DA4" w:rsidRDefault="004056E4">
            <w:pPr>
              <w:keepNext/>
              <w:widowControl w:val="0"/>
              <w:spacing w:after="0" w:line="240" w:lineRule="auto"/>
              <w:jc w:val="center"/>
              <w:rPr>
                <w:b/>
              </w:rPr>
            </w:pPr>
            <w:r>
              <w:rPr>
                <w:b/>
              </w:rPr>
              <w:t>HOPWA</w:t>
            </w:r>
          </w:p>
        </w:tc>
        <w:tc>
          <w:tcPr>
            <w:tcW w:w="720" w:type="dxa"/>
          </w:tcPr>
          <w:p w:rsidR="00482DA4" w:rsidRDefault="004056E4">
            <w:pPr>
              <w:keepNext/>
              <w:widowControl w:val="0"/>
              <w:spacing w:after="0" w:line="240" w:lineRule="auto"/>
              <w:jc w:val="center"/>
              <w:rPr>
                <w:b/>
              </w:rPr>
            </w:pPr>
            <w:r>
              <w:rPr>
                <w:b/>
              </w:rPr>
              <w:t>HTF</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Total Number of Activities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0</w:t>
            </w:r>
          </w:p>
        </w:tc>
        <w:tc>
          <w:tcPr>
            <w:tcW w:w="720" w:type="dxa"/>
            <w:vAlign w:val="center"/>
          </w:tcPr>
          <w:p w:rsidR="00482DA4" w:rsidRDefault="004056E4">
            <w:pPr>
              <w:spacing w:beforeAutospacing="1" w:afterAutospacing="1"/>
              <w:jc w:val="right"/>
            </w:pPr>
            <w:r>
              <w:rPr>
                <w:rFonts w:ascii="Arial" w:hAnsi="Arial"/>
                <w:color w:val="000000"/>
                <w:sz w:val="16"/>
              </w:rPr>
              <w:t>0</w:t>
            </w:r>
          </w:p>
        </w:tc>
        <w:tc>
          <w:tcPr>
            <w:tcW w:w="990" w:type="dxa"/>
            <w:vAlign w:val="center"/>
          </w:tcPr>
          <w:p w:rsidR="00482DA4" w:rsidRDefault="004056E4">
            <w:pPr>
              <w:spacing w:beforeAutospacing="1" w:afterAutospacing="1"/>
              <w:jc w:val="right"/>
            </w:pPr>
            <w:r>
              <w:rPr>
                <w:rFonts w:ascii="Arial" w:hAnsi="Arial"/>
                <w:color w:val="000000"/>
                <w:sz w:val="16"/>
              </w:rPr>
              <w:t>0</w:t>
            </w:r>
          </w:p>
        </w:tc>
        <w:tc>
          <w:tcPr>
            <w:tcW w:w="720" w:type="dxa"/>
            <w:vAlign w:val="center"/>
          </w:tcPr>
          <w:p w:rsidR="00482DA4" w:rsidRDefault="004056E4">
            <w:pPr>
              <w:spacing w:beforeAutospacing="1" w:afterAutospacing="1"/>
              <w:jc w:val="right"/>
            </w:pPr>
            <w:r>
              <w:rPr>
                <w:rFonts w:ascii="Arial" w:hAnsi="Arial"/>
                <w:color w:val="000000"/>
                <w:sz w:val="16"/>
              </w:rPr>
              <w:t>0</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Total Labor Hours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Total Section 3 Worker Hours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Total Targeted Section 3 Worker Hours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rsidR="00482DA4" w:rsidRDefault="00482DA4">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482DA4">
        <w:trPr>
          <w:cantSplit/>
        </w:trPr>
        <w:tc>
          <w:tcPr>
            <w:tcW w:w="5490" w:type="dxa"/>
          </w:tcPr>
          <w:p w:rsidR="00482DA4" w:rsidRDefault="004056E4">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rsidR="00482DA4" w:rsidRDefault="004056E4">
            <w:pPr>
              <w:keepNext/>
              <w:widowControl w:val="0"/>
              <w:spacing w:after="0" w:line="240" w:lineRule="auto"/>
              <w:jc w:val="center"/>
              <w:rPr>
                <w:b/>
              </w:rPr>
            </w:pPr>
            <w:r>
              <w:rPr>
                <w:b/>
              </w:rPr>
              <w:t>CDBG</w:t>
            </w:r>
          </w:p>
        </w:tc>
        <w:tc>
          <w:tcPr>
            <w:tcW w:w="900" w:type="dxa"/>
          </w:tcPr>
          <w:p w:rsidR="00482DA4" w:rsidRDefault="004056E4">
            <w:pPr>
              <w:keepNext/>
              <w:widowControl w:val="0"/>
              <w:spacing w:after="0" w:line="240" w:lineRule="auto"/>
              <w:jc w:val="center"/>
              <w:rPr>
                <w:b/>
              </w:rPr>
            </w:pPr>
            <w:r>
              <w:rPr>
                <w:b/>
              </w:rPr>
              <w:t>HOME</w:t>
            </w:r>
          </w:p>
        </w:tc>
        <w:tc>
          <w:tcPr>
            <w:tcW w:w="720" w:type="dxa"/>
          </w:tcPr>
          <w:p w:rsidR="00482DA4" w:rsidRDefault="004056E4">
            <w:pPr>
              <w:keepNext/>
              <w:widowControl w:val="0"/>
              <w:spacing w:after="0" w:line="240" w:lineRule="auto"/>
              <w:rPr>
                <w:b/>
              </w:rPr>
            </w:pPr>
            <w:r>
              <w:rPr>
                <w:b/>
              </w:rPr>
              <w:t>ESG</w:t>
            </w:r>
          </w:p>
        </w:tc>
        <w:tc>
          <w:tcPr>
            <w:tcW w:w="990" w:type="dxa"/>
          </w:tcPr>
          <w:p w:rsidR="00482DA4" w:rsidRDefault="004056E4">
            <w:pPr>
              <w:keepNext/>
              <w:widowControl w:val="0"/>
              <w:spacing w:after="0" w:line="240" w:lineRule="auto"/>
              <w:jc w:val="center"/>
              <w:rPr>
                <w:b/>
              </w:rPr>
            </w:pPr>
            <w:r>
              <w:rPr>
                <w:b/>
              </w:rPr>
              <w:t>HOPWA</w:t>
            </w:r>
          </w:p>
        </w:tc>
        <w:tc>
          <w:tcPr>
            <w:tcW w:w="720" w:type="dxa"/>
          </w:tcPr>
          <w:p w:rsidR="00482DA4" w:rsidRDefault="004056E4">
            <w:pPr>
              <w:keepNext/>
              <w:widowControl w:val="0"/>
              <w:spacing w:after="0" w:line="240" w:lineRule="auto"/>
              <w:jc w:val="center"/>
              <w:rPr>
                <w:b/>
              </w:rPr>
            </w:pPr>
            <w:r>
              <w:rPr>
                <w:b/>
              </w:rPr>
              <w:t>HTF</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Direct, on-the job training (including apprenticeships).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 xml:space="preserve">Provided or connected residents with assistance in seeking employment including: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 connecting residents to job placement services.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Held one or more job fairs.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Provided or connected residents with supportive services that provide one or more of the following: work readiness health screenings, intervi</w:t>
            </w:r>
            <w:r>
              <w:rPr>
                <w:rFonts w:ascii="Arial" w:hAnsi="Arial"/>
                <w:color w:val="25396E"/>
                <w:sz w:val="16"/>
              </w:rPr>
              <w:t>ew clothing, uniforms, test fees, transportation.</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Assisted residents with finding child care.</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 xml:space="preserve">Assisted residents to apply for, or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Assisted residents to apply for, or attend vocational/technical training.</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Assisted residents to obtain financial literacy training and/or coaching.</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r w:rsidR="00482DA4">
        <w:trPr>
          <w:cantSplit/>
        </w:trPr>
        <w:tc>
          <w:tcPr>
            <w:tcW w:w="5490" w:type="dxa"/>
            <w:vAlign w:val="center"/>
          </w:tcPr>
          <w:p w:rsidR="00482DA4" w:rsidRDefault="004056E4">
            <w:pPr>
              <w:spacing w:beforeAutospacing="1" w:afterAutospacing="1"/>
            </w:pPr>
            <w:r>
              <w:rPr>
                <w:rFonts w:ascii="Arial" w:hAnsi="Arial"/>
                <w:color w:val="25396E"/>
                <w:sz w:val="16"/>
              </w:rPr>
              <w:t>Other.</w:t>
            </w:r>
          </w:p>
        </w:tc>
        <w:tc>
          <w:tcPr>
            <w:tcW w:w="810" w:type="dxa"/>
            <w:vAlign w:val="center"/>
          </w:tcPr>
          <w:p w:rsidR="00482DA4" w:rsidRDefault="004056E4">
            <w:pPr>
              <w:spacing w:beforeAutospacing="1" w:afterAutospacing="1"/>
              <w:jc w:val="right"/>
            </w:pPr>
            <w:r>
              <w:rPr>
                <w:rFonts w:ascii="Arial" w:hAnsi="Arial"/>
                <w:color w:val="000000"/>
                <w:sz w:val="16"/>
              </w:rPr>
              <w:t>0</w:t>
            </w:r>
          </w:p>
        </w:tc>
        <w:tc>
          <w:tcPr>
            <w:tcW w:w="90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c>
          <w:tcPr>
            <w:tcW w:w="990" w:type="dxa"/>
            <w:vAlign w:val="center"/>
          </w:tcPr>
          <w:p w:rsidR="00482DA4" w:rsidRDefault="004056E4">
            <w:pPr>
              <w:spacing w:beforeAutospacing="1" w:afterAutospacing="1"/>
              <w:jc w:val="right"/>
            </w:pPr>
            <w:r>
              <w:rPr>
                <w:rFonts w:ascii="Arial" w:hAnsi="Arial"/>
                <w:color w:val="000000"/>
                <w:sz w:val="16"/>
              </w:rPr>
              <w:t xml:space="preserve"> </w:t>
            </w:r>
          </w:p>
        </w:tc>
        <w:tc>
          <w:tcPr>
            <w:tcW w:w="720" w:type="dxa"/>
            <w:vAlign w:val="center"/>
          </w:tcPr>
          <w:p w:rsidR="00482DA4" w:rsidRDefault="004056E4">
            <w:pPr>
              <w:spacing w:beforeAutospacing="1" w:afterAutospacing="1"/>
              <w:jc w:val="right"/>
            </w:pPr>
            <w:r>
              <w:rPr>
                <w:rFonts w:ascii="Arial" w:hAnsi="Arial"/>
                <w:color w:val="000000"/>
                <w:sz w:val="16"/>
              </w:rPr>
              <w:t xml:space="preserve"> </w:t>
            </w:r>
          </w:p>
        </w:tc>
      </w:tr>
    </w:tbl>
    <w:p w:rsidR="00482DA4" w:rsidRDefault="004056E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rsidR="00482DA4" w:rsidRDefault="00482DA4">
      <w:pPr>
        <w:widowControl w:val="0"/>
        <w:rPr>
          <w:b/>
          <w:sz w:val="24"/>
          <w:szCs w:val="24"/>
        </w:rPr>
      </w:pPr>
    </w:p>
    <w:p w:rsidR="00482DA4" w:rsidRDefault="004056E4">
      <w:pPr>
        <w:widowControl w:val="0"/>
        <w:rPr>
          <w:b/>
          <w:sz w:val="24"/>
          <w:szCs w:val="24"/>
        </w:rPr>
      </w:pPr>
      <w:r>
        <w:rPr>
          <w:b/>
          <w:sz w:val="24"/>
          <w:szCs w:val="24"/>
        </w:rPr>
        <w:t>Narrative</w:t>
      </w:r>
    </w:p>
    <w:p w:rsidR="00482DA4" w:rsidRDefault="004056E4">
      <w:pPr>
        <w:widowControl w:val="0"/>
        <w:spacing w:beforeAutospacing="1" w:afterAutospacing="1"/>
        <w:rPr>
          <w:rFonts w:cs="Arial"/>
        </w:rPr>
      </w:pPr>
      <w:r>
        <w:rPr>
          <w:rFonts w:cs="Arial"/>
        </w:rPr>
        <w:t>our funding at this time does not allow for staffing to participate in these types of activities.</w:t>
      </w:r>
    </w:p>
    <w:p w:rsidR="00482DA4" w:rsidRDefault="00482DA4"/>
    <w:sectPr w:rsidR="00482DA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6E4" w:rsidRDefault="004056E4">
      <w:r>
        <w:separator/>
      </w:r>
    </w:p>
  </w:endnote>
  <w:endnote w:type="continuationSeparator" w:id="0">
    <w:p w:rsidR="004056E4" w:rsidRDefault="0040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1E0" w:firstRow="1" w:lastRow="1" w:firstColumn="1" w:lastColumn="1" w:noHBand="0" w:noVBand="0"/>
    </w:tblPr>
    <w:tblGrid>
      <w:gridCol w:w="828"/>
      <w:gridCol w:w="7976"/>
      <w:gridCol w:w="772"/>
    </w:tblGrid>
    <w:tr w:rsidR="00482DA4">
      <w:trPr>
        <w:jc w:val="center"/>
      </w:trPr>
      <w:tc>
        <w:tcPr>
          <w:tcW w:w="828" w:type="dxa"/>
        </w:tcPr>
        <w:p w:rsidR="00482DA4" w:rsidRDefault="00482DA4">
          <w:pPr>
            <w:pStyle w:val="Footer"/>
            <w:spacing w:after="0" w:line="240" w:lineRule="auto"/>
            <w:jc w:val="center"/>
          </w:pPr>
        </w:p>
      </w:tc>
      <w:tc>
        <w:tcPr>
          <w:tcW w:w="7976" w:type="dxa"/>
        </w:tcPr>
        <w:p w:rsidR="00482DA4" w:rsidRDefault="004056E4">
          <w:pPr>
            <w:pStyle w:val="Footer"/>
            <w:spacing w:after="0" w:line="240" w:lineRule="auto"/>
            <w:jc w:val="center"/>
          </w:pPr>
          <w:r>
            <w:t>CAPER</w:t>
          </w:r>
        </w:p>
      </w:tc>
      <w:tc>
        <w:tcPr>
          <w:tcW w:w="772" w:type="dxa"/>
        </w:tcPr>
        <w:p w:rsidR="00482DA4" w:rsidRDefault="004056E4">
          <w:pPr>
            <w:pStyle w:val="Footer"/>
            <w:spacing w:after="0" w:line="240" w:lineRule="auto"/>
            <w:jc w:val="right"/>
          </w:pPr>
          <w:r>
            <w:fldChar w:fldCharType="begin"/>
          </w:r>
          <w:r>
            <w:instrText>page</w:instrText>
          </w:r>
          <w:r>
            <w:fldChar w:fldCharType="separate"/>
          </w:r>
          <w:r>
            <w:t>1</w:t>
          </w:r>
          <w:r>
            <w:fldChar w:fldCharType="end"/>
          </w:r>
        </w:p>
      </w:tc>
    </w:tr>
  </w:tbl>
  <w:p w:rsidR="00482DA4" w:rsidRDefault="004056E4">
    <w:pPr>
      <w:pStyle w:val="Footer"/>
      <w:spacing w:before="120" w:after="0"/>
      <w:rPr>
        <w:rFonts w:asciiTheme="minorHAnsi" w:hAnsiTheme="minorHAnsi"/>
        <w:b/>
        <w:i/>
        <w:sz w:val="16"/>
      </w:rPr>
    </w:pPr>
    <w:r>
      <w:rPr>
        <w:rFonts w:asciiTheme="minorHAnsi" w:hAnsiTheme="minorHAnsi" w:cs="Arial"/>
        <w:color w:val="000000"/>
        <w:sz w:val="16"/>
      </w:rPr>
      <w:t xml:space="preserve">OMB Control No: 2506-0117 </w:t>
    </w:r>
    <w:r>
      <w:rPr>
        <w:rFonts w:asciiTheme="minorHAnsi" w:hAnsiTheme="minorHAnsi" w:cs="Arial"/>
        <w:color w:val="000000"/>
        <w:sz w:val="16"/>
      </w:rPr>
      <w:t>(exp.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6E4" w:rsidRDefault="004056E4">
      <w:r>
        <w:separator/>
      </w:r>
    </w:p>
  </w:footnote>
  <w:footnote w:type="continuationSeparator" w:id="0">
    <w:p w:rsidR="004056E4" w:rsidRDefault="0040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6E4"/>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2DA4"/>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2F93"/>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8444FCCA-7D23-40C0-BF8C-85929C3CDD2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docx4j</cp:lastModifiedBy>
  <cp:revision>26</cp:revision>
  <dcterms:created xsi:type="dcterms:W3CDTF">2017-06-10T12:58:00Z</dcterms:created>
  <dcterms:modified xsi:type="dcterms:W3CDTF">2023-08-17T12:02:00Z</dcterms:modified>
</cp:coreProperties>
</file>